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19CF">
      <w:pPr>
        <w:jc w:val="center"/>
        <w:rPr>
          <w:rFonts w:hint="default" w:ascii="黑体" w:hAnsi="黑体" w:eastAsia="黑体" w:cs="黑体"/>
          <w:sz w:val="28"/>
          <w:szCs w:val="28"/>
        </w:rPr>
      </w:pPr>
      <w:r>
        <w:rPr>
          <w:rFonts w:hint="default" w:ascii="黑体" w:hAnsi="黑体" w:eastAsia="黑体" w:cs="黑体"/>
          <w:sz w:val="28"/>
          <w:szCs w:val="28"/>
        </w:rPr>
        <w:t>拉萨市地方标准《</w:t>
      </w:r>
      <w:r>
        <w:rPr>
          <w:rFonts w:hint="eastAsia" w:ascii="宋体" w:hAnsi="宋体" w:eastAsia="宋体" w:cs="宋体"/>
          <w:b/>
          <w:bCs/>
          <w:spacing w:val="8"/>
          <w:kern w:val="0"/>
          <w:sz w:val="28"/>
          <w:szCs w:val="28"/>
          <w:lang w:val="en-US" w:eastAsia="zh-CN"/>
        </w:rPr>
        <w:t>高校毕业（含中职生）职业指导</w:t>
      </w:r>
      <w:r>
        <w:rPr>
          <w:rFonts w:hint="eastAsia" w:ascii="宋体" w:hAnsi="宋体" w:eastAsia="宋体" w:cs="宋体"/>
          <w:b/>
          <w:bCs/>
          <w:spacing w:val="8"/>
          <w:kern w:val="0"/>
          <w:sz w:val="28"/>
          <w:szCs w:val="28"/>
        </w:rPr>
        <w:t>服务规范</w:t>
      </w:r>
      <w:r>
        <w:rPr>
          <w:rFonts w:hint="default" w:ascii="黑体" w:hAnsi="黑体" w:eastAsia="黑体" w:cs="黑体"/>
          <w:sz w:val="28"/>
          <w:szCs w:val="28"/>
        </w:rPr>
        <w:t>》编制说明</w:t>
      </w:r>
    </w:p>
    <w:p w14:paraId="6EECBCE3">
      <w:pPr>
        <w:jc w:val="center"/>
        <w:rPr>
          <w:rFonts w:hint="default" w:ascii="黑体" w:hAnsi="黑体" w:eastAsia="黑体" w:cs="黑体"/>
          <w:sz w:val="28"/>
          <w:szCs w:val="28"/>
        </w:rPr>
      </w:pPr>
    </w:p>
    <w:p w14:paraId="5BE5EC89">
      <w:pPr>
        <w:rPr>
          <w:rFonts w:hint="default" w:ascii="黑体" w:hAnsi="黑体" w:eastAsia="黑体" w:cs="黑体"/>
        </w:rPr>
      </w:pPr>
      <w:r>
        <w:rPr>
          <w:rFonts w:hint="default" w:ascii="黑体" w:hAnsi="黑体" w:eastAsia="黑体" w:cs="黑体"/>
        </w:rPr>
        <w:t>一、目的和意义</w:t>
      </w:r>
    </w:p>
    <w:p w14:paraId="021D64BA">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为贯彻落实国家关于促进高校毕业生及中职毕业生就业创业的决策部署，适应拉萨市经济社会发展对人才服务的迫切需求，制定《高校毕业（含中职生）职业指导服务规范》，旨在统一和规范拉萨市人力资源服务机构面向高校毕业生和中等职业学校毕业生提供的职业指导服务，明确服务提供</w:t>
      </w:r>
      <w:bookmarkStart w:id="0" w:name="_GoBack"/>
      <w:bookmarkEnd w:id="0"/>
      <w:r>
        <w:rPr>
          <w:rFonts w:hint="default"/>
        </w:rPr>
        <w:t>方在服务机构、从业人员、场地设施、服务内容、服务流程及监督评价等方面的基本要求，重点解决服务过程中存在的标准不统一、服务内容不全面、服务流程不规范、服务针对性不强等问题，特别强调从业人员应具备藏汉双语交流能力，以提升服务的可及性和有效性，建立健全符合拉萨地区特点的高校及中职毕业生职业指导服务体系，切实提升服务质量与效率，促进毕业生更加充分和更高质量就业。</w:t>
      </w:r>
    </w:p>
    <w:p w14:paraId="5F93862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本标准结合拉萨市实际情况，明确了</w:t>
      </w:r>
      <w:r>
        <w:rPr>
          <w:rFonts w:hint="eastAsia" w:ascii="宋体" w:hAnsi="宋体" w:eastAsia="宋体" w:cs="宋体"/>
          <w:spacing w:val="8"/>
          <w:kern w:val="0"/>
          <w:sz w:val="21"/>
          <w:szCs w:val="21"/>
        </w:rPr>
        <w:t>全国</w:t>
      </w:r>
      <w:r>
        <w:rPr>
          <w:rFonts w:hint="eastAsia" w:ascii="宋体" w:hAnsi="宋体" w:eastAsia="宋体" w:cs="宋体"/>
          <w:spacing w:val="8"/>
          <w:kern w:val="0"/>
          <w:sz w:val="21"/>
          <w:szCs w:val="21"/>
          <w:lang w:val="en-US" w:eastAsia="zh-CN"/>
        </w:rPr>
        <w:t>普通</w:t>
      </w:r>
      <w:r>
        <w:rPr>
          <w:rFonts w:hint="eastAsia" w:ascii="宋体" w:hAnsi="宋体" w:eastAsia="宋体" w:cs="宋体"/>
          <w:spacing w:val="8"/>
          <w:kern w:val="0"/>
          <w:sz w:val="21"/>
          <w:szCs w:val="21"/>
        </w:rPr>
        <w:t>高等学校(简称高校)</w:t>
      </w:r>
      <w:r>
        <w:rPr>
          <w:rFonts w:hint="eastAsia" w:ascii="宋体" w:hAnsi="宋体" w:eastAsia="宋体" w:cs="宋体"/>
          <w:spacing w:val="8"/>
          <w:kern w:val="0"/>
          <w:sz w:val="21"/>
          <w:szCs w:val="21"/>
          <w:lang w:val="en-US" w:eastAsia="zh-CN"/>
        </w:rPr>
        <w:t>以及中等职业学校</w:t>
      </w:r>
      <w:r>
        <w:rPr>
          <w:rFonts w:hint="eastAsia" w:ascii="宋体" w:hAnsi="宋体" w:eastAsia="宋体" w:cs="宋体"/>
          <w:spacing w:val="8"/>
          <w:kern w:val="0"/>
          <w:sz w:val="21"/>
          <w:szCs w:val="21"/>
        </w:rPr>
        <w:t>毕业生就业指导服务的基本要求、服务内容、服务要求、服务流程、服务监督评价与改进</w:t>
      </w:r>
      <w:r>
        <w:rPr>
          <w:rFonts w:hint="default"/>
        </w:rPr>
        <w:t>，为各级公共就业服务机构、乡镇（街道）劳动就业服务站、合作社及相关社会组织提供了操作性强的服务指南，对提升拉萨市就业服务质量、增强群众满意度具有重要的现实意义。</w:t>
      </w:r>
    </w:p>
    <w:p w14:paraId="3652EEE4">
      <w:pPr>
        <w:rPr>
          <w:rFonts w:hint="default" w:ascii="黑体" w:hAnsi="黑体" w:eastAsia="黑体" w:cs="黑体"/>
        </w:rPr>
      </w:pPr>
      <w:r>
        <w:rPr>
          <w:rFonts w:hint="default" w:ascii="黑体" w:hAnsi="黑体" w:eastAsia="黑体" w:cs="黑体"/>
        </w:rPr>
        <w:t>二、任务来源</w:t>
      </w:r>
    </w:p>
    <w:p w14:paraId="64B1139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本标准由拉萨市人力资源和社会保障局提出并归口，列入2025年度拉萨市地方标准制修订计划（文号：拉人社标〔2025〕XX号）。</w:t>
      </w:r>
    </w:p>
    <w:p w14:paraId="4E833495">
      <w:pPr>
        <w:rPr>
          <w:rFonts w:hint="default" w:ascii="黑体" w:hAnsi="黑体" w:eastAsia="黑体" w:cs="黑体"/>
        </w:rPr>
      </w:pPr>
      <w:r>
        <w:rPr>
          <w:rFonts w:hint="default" w:ascii="黑体" w:hAnsi="黑体" w:eastAsia="黑体" w:cs="黑体"/>
        </w:rPr>
        <w:t>三、编制过程</w:t>
      </w:r>
    </w:p>
    <w:p w14:paraId="255FECD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2</w:t>
      </w:r>
      <w:r>
        <w:rPr>
          <w:rFonts w:hint="eastAsia"/>
        </w:rPr>
        <w:t>月</w:t>
      </w:r>
      <w:r>
        <w:rPr>
          <w:rFonts w:hint="default"/>
        </w:rPr>
        <w:t>，由拉萨市人力资源和社会保障局牵头，联合拉萨市就业服务中心、西藏大学等相关单位成立标准起草组，开展前期调研、资料收集和标准草案编写工作。</w:t>
      </w:r>
    </w:p>
    <w:p w14:paraId="7CB813B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月</w:t>
      </w:r>
      <w:r>
        <w:rPr>
          <w:rFonts w:hint="default"/>
        </w:rPr>
        <w:t>，完成标准初稿，并在内部进行多轮讨论和修改，形成征求意见稿。</w:t>
      </w:r>
    </w:p>
    <w:p w14:paraId="7DB9F88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2025年8月，通过拉萨市市场监管局官网发布征求意见通知，广泛征求各级就业服务机构、高校、企业及社会公众意见，共收到反馈意见XX条。</w:t>
      </w:r>
    </w:p>
    <w:p w14:paraId="6378770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rPr>
        <w:t>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月</w:t>
      </w:r>
      <w:r>
        <w:rPr>
          <w:rFonts w:hint="default"/>
        </w:rPr>
        <w:t>，根据反馈意见对标准进行修改完善，形成送审稿，提交专家评审会审议。</w:t>
      </w:r>
    </w:p>
    <w:p w14:paraId="5883609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2025年</w:t>
      </w:r>
      <w:r>
        <w:rPr>
          <w:rFonts w:hint="eastAsia"/>
          <w:lang w:val="en-US" w:eastAsia="zh-CN"/>
        </w:rPr>
        <w:t>10</w:t>
      </w:r>
      <w:r>
        <w:rPr>
          <w:rFonts w:hint="default"/>
        </w:rPr>
        <w:t>月下旬，通过专家评审，根据评审意见进一步修改，形成报批稿。</w:t>
      </w:r>
    </w:p>
    <w:p w14:paraId="17A96F5B">
      <w:pPr>
        <w:rPr>
          <w:rFonts w:hint="default" w:ascii="黑体" w:hAnsi="黑体" w:eastAsia="黑体" w:cs="黑体"/>
        </w:rPr>
      </w:pPr>
    </w:p>
    <w:p w14:paraId="4370FF3B">
      <w:pPr>
        <w:numPr>
          <w:ilvl w:val="0"/>
          <w:numId w:val="1"/>
        </w:numPr>
        <w:rPr>
          <w:rFonts w:hint="default" w:ascii="黑体" w:hAnsi="黑体" w:eastAsia="黑体" w:cs="黑体"/>
        </w:rPr>
      </w:pPr>
      <w:r>
        <w:rPr>
          <w:rFonts w:hint="default" w:ascii="黑体" w:hAnsi="黑体" w:eastAsia="黑体" w:cs="黑体"/>
        </w:rPr>
        <w:t>主要内容技术指标确立</w:t>
      </w:r>
    </w:p>
    <w:p w14:paraId="23B8883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1. 范围</w:t>
      </w:r>
    </w:p>
    <w:p w14:paraId="0B896530">
      <w:pPr>
        <w:widowControl/>
        <w:shd w:val="clear" w:color="auto" w:fill="FFFFFF"/>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w:t>
      </w:r>
      <w:r>
        <w:rPr>
          <w:rFonts w:hint="eastAsia" w:ascii="宋体" w:hAnsi="宋体" w:eastAsia="宋体" w:cs="宋体"/>
          <w:spacing w:val="8"/>
          <w:kern w:val="0"/>
          <w:sz w:val="21"/>
          <w:szCs w:val="21"/>
          <w:lang w:val="en-US" w:eastAsia="zh-CN"/>
        </w:rPr>
        <w:t>文件</w:t>
      </w:r>
      <w:r>
        <w:rPr>
          <w:rFonts w:hint="eastAsia" w:ascii="宋体" w:hAnsi="宋体" w:eastAsia="宋体" w:cs="宋体"/>
          <w:spacing w:val="8"/>
          <w:kern w:val="0"/>
          <w:sz w:val="21"/>
          <w:szCs w:val="21"/>
        </w:rPr>
        <w:t>规定了就业困难人员职业指导服务的基本要求、服务内容、服务流程、服务评价与改进。</w:t>
      </w:r>
    </w:p>
    <w:p w14:paraId="6B63E040">
      <w:pPr>
        <w:widowControl/>
        <w:shd w:val="clear" w:color="auto" w:fill="FFFFFF"/>
        <w:ind w:firstLine="452" w:firstLineChars="200"/>
        <w:rPr>
          <w:rFonts w:hint="default"/>
        </w:rPr>
      </w:pPr>
      <w:r>
        <w:rPr>
          <w:rFonts w:hint="eastAsia" w:ascii="宋体" w:hAnsi="宋体" w:eastAsia="宋体" w:cs="宋体"/>
          <w:spacing w:val="8"/>
          <w:kern w:val="0"/>
          <w:sz w:val="21"/>
          <w:szCs w:val="21"/>
        </w:rPr>
        <w:t>本</w:t>
      </w:r>
      <w:r>
        <w:rPr>
          <w:rFonts w:hint="eastAsia" w:ascii="宋体" w:hAnsi="宋体" w:eastAsia="宋体" w:cs="宋体"/>
          <w:spacing w:val="8"/>
          <w:kern w:val="0"/>
          <w:sz w:val="21"/>
          <w:szCs w:val="21"/>
          <w:lang w:val="en-US" w:eastAsia="zh-CN"/>
        </w:rPr>
        <w:t>文件</w:t>
      </w:r>
      <w:r>
        <w:rPr>
          <w:rFonts w:hint="eastAsia" w:ascii="宋体" w:hAnsi="宋体" w:eastAsia="宋体" w:cs="宋体"/>
          <w:spacing w:val="8"/>
          <w:kern w:val="0"/>
          <w:sz w:val="21"/>
          <w:szCs w:val="21"/>
        </w:rPr>
        <w:t>适用于</w:t>
      </w:r>
      <w:r>
        <w:rPr>
          <w:rFonts w:hint="eastAsia" w:ascii="宋体" w:hAnsi="宋体" w:eastAsia="宋体" w:cs="宋体"/>
          <w:spacing w:val="8"/>
          <w:kern w:val="0"/>
          <w:sz w:val="21"/>
          <w:szCs w:val="21"/>
          <w:lang w:val="en-US" w:eastAsia="zh-CN"/>
        </w:rPr>
        <w:t>拉萨市就业困难人员职业指导服务</w:t>
      </w:r>
      <w:r>
        <w:rPr>
          <w:rFonts w:hint="eastAsia" w:ascii="宋体" w:hAnsi="宋体" w:eastAsia="宋体" w:cs="宋体"/>
          <w:spacing w:val="8"/>
          <w:kern w:val="0"/>
          <w:sz w:val="21"/>
          <w:szCs w:val="21"/>
        </w:rPr>
        <w:t>机构开展职业指导服务。</w:t>
      </w:r>
    </w:p>
    <w:p w14:paraId="1BAC946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2. 规范性引用文件</w:t>
      </w:r>
    </w:p>
    <w:p w14:paraId="689C4991">
      <w:pPr>
        <w:widowControl/>
        <w:shd w:val="clear" w:color="auto" w:fill="FFFFFF"/>
        <w:ind w:firstLine="420" w:firstLineChars="200"/>
        <w:rPr>
          <w:rFonts w:hint="default"/>
        </w:rPr>
      </w:pPr>
      <w:r>
        <w:rPr>
          <w:rFonts w:hint="default"/>
        </w:rPr>
        <w:t>引用了</w:t>
      </w:r>
      <w:r>
        <w:rPr>
          <w:rFonts w:hint="eastAsia" w:ascii="宋体" w:hAnsi="宋体" w:eastAsia="宋体" w:cs="宋体"/>
          <w:b w:val="0"/>
          <w:bCs w:val="0"/>
          <w:color w:val="000000" w:themeColor="text1"/>
          <w:spacing w:val="8"/>
          <w:kern w:val="0"/>
          <w:sz w:val="21"/>
          <w:szCs w:val="21"/>
          <w14:textFill>
            <w14:solidFill>
              <w14:schemeClr w14:val="tx1"/>
            </w14:solidFill>
          </w14:textFill>
        </w:rPr>
        <w:t>GB/T 30663</w:t>
      </w:r>
      <w:r>
        <w:rPr>
          <w:rFonts w:hint="eastAsia" w:ascii="宋体" w:hAnsi="宋体" w:cs="宋体"/>
          <w:spacing w:val="8"/>
          <w:kern w:val="0"/>
          <w:sz w:val="21"/>
          <w:szCs w:val="21"/>
          <w:lang w:eastAsia="zh-CN"/>
        </w:rPr>
        <w:t>、</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GB</w:t>
      </w:r>
      <w:r>
        <w:rPr>
          <w:rFonts w:hint="eastAsia" w:ascii="宋体" w:hAnsi="宋体" w:eastAsia="宋体" w:cs="宋体"/>
          <w:b w:val="0"/>
          <w:bCs w:val="0"/>
          <w:color w:val="000000" w:themeColor="text1"/>
          <w:spacing w:val="8"/>
          <w:kern w:val="0"/>
          <w:sz w:val="21"/>
          <w:szCs w:val="21"/>
          <w:lang w:val="en-US" w:eastAsia="zh-CN"/>
          <w14:textFill>
            <w14:solidFill>
              <w14:schemeClr w14:val="tx1"/>
            </w14:solidFill>
          </w14:textFill>
        </w:rPr>
        <w:t>/</w:t>
      </w:r>
      <w:r>
        <w:rPr>
          <w:rFonts w:hint="eastAsia" w:ascii="宋体" w:hAnsi="宋体" w:eastAsia="宋体" w:cs="宋体"/>
          <w:b w:val="0"/>
          <w:bCs w:val="0"/>
          <w:color w:val="000000" w:themeColor="text1"/>
          <w:spacing w:val="8"/>
          <w:kern w:val="0"/>
          <w:sz w:val="21"/>
          <w:szCs w:val="21"/>
          <w:lang w:eastAsia="zh-CN"/>
          <w14:textFill>
            <w14:solidFill>
              <w14:schemeClr w14:val="tx1"/>
            </w14:solidFill>
          </w14:textFill>
        </w:rPr>
        <w:t>T 33667</w:t>
      </w:r>
      <w:r>
        <w:rPr>
          <w:rFonts w:hint="default"/>
        </w:rPr>
        <w:t>等国家标准，确保内容与国家标准接轨。</w:t>
      </w:r>
    </w:p>
    <w:p w14:paraId="0B5A771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3. 术语和定义</w:t>
      </w:r>
    </w:p>
    <w:p w14:paraId="4FCEEA6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明确了</w:t>
      </w:r>
      <w:r>
        <w:rPr>
          <w:rFonts w:hint="eastAsia"/>
          <w:lang w:eastAsia="zh-CN"/>
        </w:rPr>
        <w:t>“</w:t>
      </w:r>
      <w:r>
        <w:rPr>
          <w:rFonts w:hint="eastAsia"/>
          <w:lang w:val="en-US" w:eastAsia="zh-CN"/>
        </w:rPr>
        <w:t>中等职业学校毕业生</w:t>
      </w:r>
      <w:r>
        <w:rPr>
          <w:rFonts w:hint="eastAsia"/>
          <w:lang w:eastAsia="zh-CN"/>
        </w:rPr>
        <w:t>”</w:t>
      </w:r>
      <w:r>
        <w:rPr>
          <w:rFonts w:hint="default"/>
        </w:rPr>
        <w:t>关键术语，统一语言，避免歧义。</w:t>
      </w:r>
    </w:p>
    <w:p w14:paraId="05884ED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 xml:space="preserve">4. </w:t>
      </w:r>
      <w:r>
        <w:rPr>
          <w:rFonts w:hint="eastAsia"/>
          <w:lang w:val="en-US" w:eastAsia="zh-CN"/>
        </w:rPr>
        <w:t>基本</w:t>
      </w:r>
      <w:r>
        <w:rPr>
          <w:rFonts w:hint="default"/>
        </w:rPr>
        <w:t>要求</w:t>
      </w:r>
    </w:p>
    <w:p w14:paraId="6EE2900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包括</w:t>
      </w:r>
      <w:r>
        <w:rPr>
          <w:rFonts w:hint="eastAsia"/>
          <w:lang w:val="en-US" w:eastAsia="zh-CN"/>
        </w:rPr>
        <w:t>服务机构、从业人员、场地及设施的要求，</w:t>
      </w:r>
      <w:r>
        <w:rPr>
          <w:rFonts w:hint="default"/>
        </w:rPr>
        <w:t>均提出具体操作要求和标准。</w:t>
      </w:r>
    </w:p>
    <w:p w14:paraId="4003442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20" w:firstLineChars="200"/>
        <w:textAlignment w:val="auto"/>
        <w:rPr>
          <w:rFonts w:hint="default" w:eastAsia="宋体"/>
          <w:lang w:val="en-US" w:eastAsia="zh-CN"/>
        </w:rPr>
      </w:pPr>
      <w:r>
        <w:rPr>
          <w:rFonts w:hint="eastAsia"/>
          <w:lang w:val="en-US" w:eastAsia="zh-CN"/>
        </w:rPr>
        <w:t>服务内容</w:t>
      </w:r>
    </w:p>
    <w:p w14:paraId="14F322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52" w:firstLineChars="200"/>
        <w:textAlignment w:val="auto"/>
        <w:rPr>
          <w:rFonts w:hint="default" w:eastAsia="宋体"/>
          <w:lang w:val="en-US" w:eastAsia="zh-CN"/>
        </w:rPr>
      </w:pPr>
      <w:r>
        <w:rPr>
          <w:rFonts w:hint="eastAsia" w:ascii="宋体" w:hAnsi="宋体" w:eastAsia="宋体" w:cs="宋体"/>
          <w:spacing w:val="8"/>
          <w:kern w:val="0"/>
          <w:sz w:val="21"/>
          <w:szCs w:val="21"/>
        </w:rPr>
        <w:t>对高校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毕业生就业指导服务，包括</w:t>
      </w:r>
      <w:r>
        <w:rPr>
          <w:rFonts w:hint="eastAsia" w:ascii="宋体" w:hAnsi="宋体" w:cs="宋体"/>
          <w:spacing w:val="8"/>
          <w:kern w:val="0"/>
          <w:sz w:val="21"/>
          <w:szCs w:val="21"/>
          <w:lang w:eastAsia="zh-CN"/>
        </w:rPr>
        <w:t>了</w:t>
      </w:r>
      <w:r>
        <w:rPr>
          <w:rFonts w:hint="eastAsia" w:ascii="宋体" w:hAnsi="宋体" w:eastAsia="宋体" w:cs="宋体"/>
          <w:spacing w:val="8"/>
          <w:kern w:val="0"/>
          <w:sz w:val="21"/>
          <w:szCs w:val="21"/>
        </w:rPr>
        <w:t>就业创业政策咨询</w:t>
      </w:r>
      <w:r>
        <w:rPr>
          <w:rFonts w:hint="eastAsia" w:ascii="宋体" w:hAnsi="宋体" w:cs="宋体"/>
          <w:spacing w:val="8"/>
          <w:kern w:val="0"/>
          <w:sz w:val="21"/>
          <w:szCs w:val="21"/>
          <w:lang w:eastAsia="zh-CN"/>
        </w:rPr>
        <w:t>；</w:t>
      </w:r>
      <w:r>
        <w:rPr>
          <w:rFonts w:hint="eastAsia" w:ascii="宋体" w:hAnsi="宋体" w:eastAsia="宋体" w:cs="宋体"/>
          <w:spacing w:val="8"/>
          <w:kern w:val="0"/>
          <w:sz w:val="21"/>
          <w:szCs w:val="21"/>
        </w:rPr>
        <w:t>职业倾向分析</w:t>
      </w:r>
      <w:r>
        <w:rPr>
          <w:rFonts w:hint="eastAsia" w:ascii="宋体" w:hAnsi="宋体" w:cs="宋体"/>
          <w:spacing w:val="8"/>
          <w:kern w:val="0"/>
          <w:sz w:val="21"/>
          <w:szCs w:val="21"/>
          <w:lang w:eastAsia="zh-CN"/>
        </w:rPr>
        <w:t>；</w:t>
      </w:r>
      <w:r>
        <w:rPr>
          <w:rFonts w:hint="eastAsia" w:ascii="宋体" w:hAnsi="宋体" w:eastAsia="宋体" w:cs="宋体"/>
          <w:spacing w:val="8"/>
          <w:kern w:val="0"/>
          <w:sz w:val="21"/>
          <w:szCs w:val="21"/>
        </w:rPr>
        <w:t>职业生涯</w:t>
      </w:r>
      <w:r>
        <w:rPr>
          <w:rFonts w:hint="eastAsia" w:ascii="宋体" w:hAnsi="宋体" w:cs="宋体"/>
          <w:spacing w:val="8"/>
          <w:kern w:val="0"/>
          <w:sz w:val="21"/>
          <w:szCs w:val="21"/>
          <w:lang w:val="en-US" w:eastAsia="zh-CN"/>
        </w:rPr>
        <w:t>规划</w:t>
      </w:r>
      <w:r>
        <w:rPr>
          <w:rFonts w:hint="eastAsia" w:ascii="宋体" w:hAnsi="宋体" w:eastAsia="宋体" w:cs="宋体"/>
          <w:spacing w:val="8"/>
          <w:kern w:val="0"/>
          <w:sz w:val="21"/>
          <w:szCs w:val="21"/>
        </w:rPr>
        <w:t>；自主创业辅导</w:t>
      </w:r>
      <w:r>
        <w:rPr>
          <w:rFonts w:hint="eastAsia" w:ascii="宋体" w:hAnsi="宋体" w:cs="宋体"/>
          <w:spacing w:val="8"/>
          <w:kern w:val="0"/>
          <w:sz w:val="21"/>
          <w:szCs w:val="21"/>
          <w:lang w:val="en-US" w:eastAsia="zh-CN"/>
        </w:rPr>
        <w:t>和</w:t>
      </w:r>
      <w:r>
        <w:rPr>
          <w:rFonts w:hint="eastAsia" w:ascii="宋体" w:hAnsi="宋体" w:eastAsia="宋体" w:cs="宋体"/>
          <w:spacing w:val="8"/>
          <w:kern w:val="0"/>
          <w:sz w:val="21"/>
          <w:szCs w:val="21"/>
        </w:rPr>
        <w:t>就业创业技能辅导。</w:t>
      </w:r>
    </w:p>
    <w:p w14:paraId="47054C7F">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20" w:firstLineChars="200"/>
        <w:textAlignment w:val="auto"/>
        <w:rPr>
          <w:rFonts w:hint="default" w:eastAsia="宋体"/>
          <w:lang w:val="en-US" w:eastAsia="zh-CN"/>
        </w:rPr>
      </w:pPr>
      <w:r>
        <w:rPr>
          <w:rFonts w:hint="eastAsia"/>
          <w:lang w:val="en-US" w:eastAsia="zh-CN"/>
        </w:rPr>
        <w:t>服务要求</w:t>
      </w:r>
    </w:p>
    <w:p w14:paraId="5B5A09A9">
      <w:pPr>
        <w:keepNext w:val="0"/>
        <w:keepLines w:val="0"/>
        <w:pageBreakBefore w:val="0"/>
        <w:widowControl w:val="0"/>
        <w:numPr>
          <w:numId w:val="0"/>
        </w:numPr>
        <w:kinsoku/>
        <w:wordWrap/>
        <w:overflowPunct/>
        <w:topLinePunct w:val="0"/>
        <w:autoSpaceDE/>
        <w:autoSpaceDN/>
        <w:bidi w:val="0"/>
        <w:adjustRightInd/>
        <w:snapToGrid/>
        <w:spacing w:line="540" w:lineRule="exact"/>
        <w:ind w:firstLine="452" w:firstLineChars="200"/>
        <w:textAlignment w:val="auto"/>
        <w:rPr>
          <w:rFonts w:hint="default" w:eastAsia="宋体"/>
          <w:lang w:val="en-US" w:eastAsia="zh-CN"/>
        </w:rPr>
      </w:pPr>
      <w:r>
        <w:rPr>
          <w:rFonts w:hint="eastAsia" w:ascii="宋体" w:hAnsi="宋体" w:eastAsia="宋体" w:cs="宋体"/>
          <w:spacing w:val="8"/>
          <w:kern w:val="0"/>
          <w:sz w:val="21"/>
          <w:szCs w:val="21"/>
        </w:rPr>
        <w:t>对高校</w:t>
      </w:r>
      <w:r>
        <w:rPr>
          <w:rFonts w:hint="eastAsia" w:ascii="宋体" w:hAnsi="宋体" w:eastAsia="宋体" w:cs="宋体"/>
          <w:spacing w:val="8"/>
          <w:kern w:val="0"/>
          <w:sz w:val="21"/>
          <w:szCs w:val="21"/>
          <w:lang w:val="en-US" w:eastAsia="zh-CN"/>
        </w:rPr>
        <w:t>及中职</w:t>
      </w:r>
      <w:r>
        <w:rPr>
          <w:rFonts w:hint="eastAsia" w:ascii="宋体" w:hAnsi="宋体" w:eastAsia="宋体" w:cs="宋体"/>
          <w:spacing w:val="8"/>
          <w:kern w:val="0"/>
          <w:sz w:val="21"/>
          <w:szCs w:val="21"/>
        </w:rPr>
        <w:t>毕业生就业指导服务</w:t>
      </w:r>
      <w:r>
        <w:rPr>
          <w:rFonts w:hint="eastAsia" w:ascii="宋体" w:hAnsi="宋体" w:cs="宋体"/>
          <w:spacing w:val="8"/>
          <w:kern w:val="0"/>
          <w:sz w:val="21"/>
          <w:szCs w:val="21"/>
          <w:lang w:val="en-US" w:eastAsia="zh-CN"/>
        </w:rPr>
        <w:t>提出了具体的服务要求。</w:t>
      </w:r>
    </w:p>
    <w:p w14:paraId="16AA931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20" w:firstLineChars="200"/>
        <w:textAlignment w:val="auto"/>
        <w:rPr>
          <w:rFonts w:hint="default" w:eastAsia="宋体"/>
          <w:lang w:val="en-US" w:eastAsia="zh-CN"/>
        </w:rPr>
      </w:pPr>
      <w:r>
        <w:rPr>
          <w:rFonts w:hint="default"/>
        </w:rPr>
        <w:t>服务流程</w:t>
      </w:r>
    </w:p>
    <w:p w14:paraId="2F7E6E4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分别从</w:t>
      </w:r>
      <w:r>
        <w:rPr>
          <w:rFonts w:hint="eastAsia"/>
          <w:lang w:val="en-US" w:eastAsia="zh-CN"/>
        </w:rPr>
        <w:t>信息发布、接洽沟通、签订服务项目协议、服务实施和资料归档五</w:t>
      </w:r>
      <w:r>
        <w:rPr>
          <w:rFonts w:hint="default"/>
        </w:rPr>
        <w:t>个角度，规范了服务流程，确保服务有序、高效、透明。</w:t>
      </w:r>
    </w:p>
    <w:p w14:paraId="404D4D9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lang w:val="en-US" w:eastAsia="zh-CN"/>
        </w:rPr>
        <w:t>8</w:t>
      </w:r>
      <w:r>
        <w:rPr>
          <w:rFonts w:hint="default"/>
        </w:rPr>
        <w:t>. 服务</w:t>
      </w:r>
      <w:r>
        <w:rPr>
          <w:rFonts w:hint="eastAsia"/>
          <w:lang w:val="en-US" w:eastAsia="zh-CN"/>
        </w:rPr>
        <w:t>监督、评价</w:t>
      </w:r>
      <w:r>
        <w:rPr>
          <w:rFonts w:hint="default"/>
        </w:rPr>
        <w:t>与改进</w:t>
      </w:r>
    </w:p>
    <w:p w14:paraId="132DD0F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建立了以服务对象满意度为核心的服务质量评价体系，明确了投诉处理机制和服务持续改进要求。</w:t>
      </w:r>
    </w:p>
    <w:p w14:paraId="12F6AD12">
      <w:pPr>
        <w:rPr>
          <w:rFonts w:hint="default" w:ascii="黑体" w:hAnsi="黑体" w:eastAsia="黑体" w:cs="黑体"/>
        </w:rPr>
      </w:pPr>
      <w:r>
        <w:rPr>
          <w:rFonts w:hint="eastAsia" w:ascii="黑体" w:hAnsi="黑体" w:eastAsia="黑体" w:cs="黑体"/>
          <w:lang w:val="en-US" w:eastAsia="zh-CN"/>
        </w:rPr>
        <w:t>五</w:t>
      </w:r>
      <w:r>
        <w:rPr>
          <w:rFonts w:hint="default" w:ascii="黑体" w:hAnsi="黑体" w:eastAsia="黑体" w:cs="黑体"/>
        </w:rPr>
        <w:t>、与相关法律法规和标准的关系</w:t>
      </w:r>
    </w:p>
    <w:p w14:paraId="4803E12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本标准符合《中华人民共和国就业促进法》《就业服务与就业管理规定》等法律法规要求，与GB/T 33528《公共就业服务术语》等国家标准保持一致，并结合拉萨市多民族、多语言、高海拔等地域特点，增加了双语服务、信息化应用等特色内容。</w:t>
      </w:r>
    </w:p>
    <w:p w14:paraId="10AC0D53">
      <w:pPr>
        <w:rPr>
          <w:rFonts w:hint="default" w:ascii="黑体" w:hAnsi="黑体" w:eastAsia="黑体" w:cs="黑体"/>
        </w:rPr>
      </w:pPr>
      <w:r>
        <w:rPr>
          <w:rFonts w:hint="eastAsia" w:ascii="黑体" w:hAnsi="黑体" w:eastAsia="黑体" w:cs="黑体"/>
          <w:lang w:val="en-US" w:eastAsia="zh-CN"/>
        </w:rPr>
        <w:t>六</w:t>
      </w:r>
      <w:r>
        <w:rPr>
          <w:rFonts w:hint="default" w:ascii="黑体" w:hAnsi="黑体" w:eastAsia="黑体" w:cs="黑体"/>
        </w:rPr>
        <w:t>、重大分歧意见的处理</w:t>
      </w:r>
    </w:p>
    <w:p w14:paraId="7B433C2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在征求意见过程中，未出现重大分歧意见。</w:t>
      </w:r>
    </w:p>
    <w:p w14:paraId="66A58DF9">
      <w:pPr>
        <w:rPr>
          <w:rFonts w:hint="default" w:ascii="黑体" w:hAnsi="黑体" w:eastAsia="黑体" w:cs="黑体"/>
        </w:rPr>
      </w:pPr>
      <w:r>
        <w:rPr>
          <w:rFonts w:hint="eastAsia" w:ascii="黑体" w:hAnsi="黑体" w:eastAsia="黑体" w:cs="黑体"/>
          <w:lang w:val="en-US" w:eastAsia="zh-CN"/>
        </w:rPr>
        <w:t>七</w:t>
      </w:r>
      <w:r>
        <w:rPr>
          <w:rFonts w:hint="default" w:ascii="黑体" w:hAnsi="黑体" w:eastAsia="黑体" w:cs="黑体"/>
        </w:rPr>
        <w:t>、实施推广建议</w:t>
      </w:r>
    </w:p>
    <w:p w14:paraId="593553B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实施后，建议由拉萨市人力资源和社会保障局牵头，组织各级就业服务机构开展标准宣贯培训，确保服务人员熟练掌握标准内容。同时，可通过典型示范、案例推广、满意度测评等方式，推动标准落地见效，不断提升拉萨市</w:t>
      </w:r>
      <w:r>
        <w:rPr>
          <w:rFonts w:hint="eastAsia"/>
          <w:lang w:val="en-US" w:eastAsia="zh-CN"/>
        </w:rPr>
        <w:t>高校毕业（含中职生）职业指导</w:t>
      </w:r>
      <w:r>
        <w:rPr>
          <w:rFonts w:hint="default"/>
        </w:rPr>
        <w:t>服务的专业化、标准化水平。</w:t>
      </w:r>
    </w:p>
    <w:p w14:paraId="6A7A57EC"/>
    <w:p w14:paraId="51494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8B4FC"/>
    <w:multiLevelType w:val="singleLevel"/>
    <w:tmpl w:val="D418B4FC"/>
    <w:lvl w:ilvl="0" w:tentative="0">
      <w:start w:val="5"/>
      <w:numFmt w:val="decimal"/>
      <w:suff w:val="space"/>
      <w:lvlText w:val="%1."/>
      <w:lvlJc w:val="left"/>
    </w:lvl>
  </w:abstractNum>
  <w:abstractNum w:abstractNumId="1">
    <w:nsid w:val="E3687244"/>
    <w:multiLevelType w:val="singleLevel"/>
    <w:tmpl w:val="E368724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052EE"/>
    <w:rsid w:val="188052EE"/>
    <w:rsid w:val="42C5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2025-09-08T07:02:00Z</dcterms:created>
  <dc:creator>Zfy</dc:creator>
  <cp:lastModifiedBy>Zfy</cp:lastModifiedBy>
  <dcterms:modified xsi:type="dcterms:W3CDTF">2025-09-09T09:24:33Z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1957B15EB43C4024A336A730BCDB7D8A_11</vt:lpwstr>
  </property>
  <property fmtid="{D5CDD505-2E9C-101B-9397-08002B2CF9AE}" pid="4" name="KSOTemplateDocerSaveRecord">
    <vt:lpwstr>eyJoZGlkIjoiYjk0NWY1MTIyMDlkODVjZjk1NDU0ODcyZjg1N2I4MDMiLCJ1c2VySWQiOiIxNTEzNzAxNSJ9</vt:lpwstr>
  </property>
</Properties>
</file>