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B6776">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44"/>
          <w:szCs w:val="24"/>
          <w:lang w:val="en-US" w:eastAsia="zh-CN"/>
        </w:rPr>
      </w:pPr>
    </w:p>
    <w:p w14:paraId="3F8CD001">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44"/>
          <w:szCs w:val="24"/>
          <w:lang w:val="en-US" w:eastAsia="zh-CN"/>
        </w:rPr>
      </w:pPr>
    </w:p>
    <w:p w14:paraId="0A934D65">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44"/>
          <w:szCs w:val="24"/>
          <w:lang w:val="en-US" w:eastAsia="zh-CN"/>
        </w:rPr>
      </w:pPr>
    </w:p>
    <w:p w14:paraId="2B67DB8E">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44"/>
          <w:szCs w:val="24"/>
          <w:lang w:val="en-US" w:eastAsia="zh-CN"/>
        </w:rPr>
      </w:pPr>
    </w:p>
    <w:p w14:paraId="7FF320D5">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sz w:val="52"/>
          <w:szCs w:val="32"/>
          <w:lang w:val="en-US" w:eastAsia="zh-CN"/>
        </w:rPr>
      </w:pPr>
    </w:p>
    <w:p w14:paraId="78B7C59C">
      <w:pPr>
        <w:bidi w:val="0"/>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退役军人职业指导服务规范</w:t>
      </w:r>
    </w:p>
    <w:p w14:paraId="3A3A338C">
      <w:pPr>
        <w:bidi w:val="0"/>
        <w:jc w:val="center"/>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Service Standards for Vocational Guidance for Ex-servicemen</w:t>
      </w:r>
    </w:p>
    <w:p w14:paraId="26724546">
      <w:pPr>
        <w:bidi w:val="0"/>
        <w:jc w:val="center"/>
        <w:rPr>
          <w:rFonts w:hint="default"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28"/>
          <w:szCs w:val="28"/>
          <w:lang w:val="en-US" w:eastAsia="zh-CN"/>
        </w:rPr>
        <w:t>（征求意见稿）</w:t>
      </w:r>
    </w:p>
    <w:p w14:paraId="50EAC07F">
      <w:pPr>
        <w:rPr>
          <w:rFonts w:hint="eastAsia"/>
          <w:lang w:val="en-US" w:eastAsia="zh-CN"/>
        </w:rPr>
      </w:pPr>
    </w:p>
    <w:p w14:paraId="6967197B">
      <w:pPr>
        <w:rPr>
          <w:rFonts w:hint="eastAsia" w:ascii="黑体" w:hAnsi="黑体" w:eastAsia="黑体" w:cs="黑体"/>
          <w:b/>
          <w:kern w:val="44"/>
          <w:sz w:val="36"/>
          <w:szCs w:val="21"/>
          <w:lang w:val="en-US" w:eastAsia="zh-CN" w:bidi="ar-SA"/>
        </w:rPr>
      </w:pPr>
      <w:r>
        <w:rPr>
          <w:rFonts w:hint="eastAsia" w:ascii="黑体" w:hAnsi="黑体" w:eastAsia="黑体" w:cs="黑体"/>
          <w:b/>
          <w:kern w:val="44"/>
          <w:sz w:val="36"/>
          <w:szCs w:val="21"/>
          <w:lang w:val="en-US" w:eastAsia="zh-CN" w:bidi="ar-SA"/>
        </w:rPr>
        <w:br w:type="page"/>
      </w:r>
    </w:p>
    <w:sdt>
      <w:sdtPr>
        <w:rPr>
          <w:rFonts w:hint="eastAsia" w:ascii="黑体" w:hAnsi="黑体" w:eastAsia="黑体" w:cs="黑体"/>
          <w:b/>
          <w:bCs/>
          <w:kern w:val="2"/>
          <w:sz w:val="32"/>
          <w:szCs w:val="40"/>
          <w:lang w:val="en-US" w:eastAsia="zh-CN" w:bidi="ar-SA"/>
        </w:rPr>
        <w:id w:val="147456939"/>
        <w15:color w:val="DBDBDB"/>
        <w:docPartObj>
          <w:docPartGallery w:val="Table of Contents"/>
          <w:docPartUnique/>
        </w:docPartObj>
      </w:sdtPr>
      <w:sdtEndPr>
        <w:rPr>
          <w:rFonts w:hint="eastAsia" w:ascii="黑体" w:hAnsi="黑体" w:eastAsia="黑体" w:cs="黑体"/>
          <w:b/>
          <w:bCs/>
          <w:kern w:val="44"/>
          <w:sz w:val="24"/>
          <w:szCs w:val="21"/>
          <w:lang w:val="en-US" w:eastAsia="zh-CN" w:bidi="ar-SA"/>
        </w:rPr>
      </w:sdtEndPr>
      <w:sdtContent>
        <w:p w14:paraId="7C1FAEA0">
          <w:pPr>
            <w:spacing w:before="0" w:beforeLines="0" w:after="0" w:afterLines="0" w:line="240" w:lineRule="auto"/>
            <w:ind w:left="0" w:leftChars="0" w:right="0" w:rightChars="0" w:firstLine="0" w:firstLineChars="0"/>
            <w:jc w:val="center"/>
            <w:rPr>
              <w:rFonts w:hint="eastAsia" w:ascii="黑体" w:hAnsi="黑体" w:eastAsia="黑体" w:cs="黑体"/>
              <w:b/>
              <w:bCs/>
              <w:sz w:val="32"/>
              <w:szCs w:val="40"/>
              <w:lang w:eastAsia="zh-CN"/>
            </w:rPr>
          </w:pPr>
          <w:r>
            <w:rPr>
              <w:rFonts w:hint="eastAsia" w:ascii="黑体" w:hAnsi="黑体" w:eastAsia="黑体" w:cs="黑体"/>
              <w:b/>
              <w:bCs/>
              <w:sz w:val="32"/>
              <w:szCs w:val="40"/>
              <w:lang w:val="en-US" w:eastAsia="zh-CN"/>
            </w:rPr>
            <w:t>目次</w:t>
          </w:r>
        </w:p>
        <w:p w14:paraId="2C9735C7">
          <w:pPr>
            <w:pStyle w:val="6"/>
            <w:tabs>
              <w:tab w:val="right" w:leader="dot" w:pos="8306"/>
            </w:tabs>
          </w:pPr>
          <w:r>
            <w:rPr>
              <w:rFonts w:hint="eastAsia" w:ascii="黑体" w:hAnsi="黑体" w:eastAsia="黑体" w:cs="黑体"/>
              <w:b/>
              <w:kern w:val="44"/>
              <w:sz w:val="36"/>
              <w:szCs w:val="21"/>
              <w:lang w:val="en-US" w:eastAsia="zh-CN" w:bidi="ar-SA"/>
            </w:rPr>
            <w:fldChar w:fldCharType="begin"/>
          </w:r>
          <w:r>
            <w:rPr>
              <w:rFonts w:hint="eastAsia" w:ascii="黑体" w:hAnsi="黑体" w:eastAsia="黑体" w:cs="黑体"/>
              <w:b/>
              <w:kern w:val="44"/>
              <w:sz w:val="36"/>
              <w:szCs w:val="21"/>
              <w:lang w:val="en-US" w:eastAsia="zh-CN" w:bidi="ar-SA"/>
            </w:rPr>
            <w:instrText xml:space="preserve">TOC \o "1-2" \h \u </w:instrText>
          </w:r>
          <w:r>
            <w:rPr>
              <w:rFonts w:hint="eastAsia" w:ascii="黑体" w:hAnsi="黑体" w:eastAsia="黑体" w:cs="黑体"/>
              <w:b/>
              <w:kern w:val="44"/>
              <w:sz w:val="36"/>
              <w:szCs w:val="21"/>
              <w:lang w:val="en-US" w:eastAsia="zh-CN" w:bidi="ar-SA"/>
            </w:rPr>
            <w:fldChar w:fldCharType="separate"/>
          </w: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_Toc30167 </w:instrText>
          </w:r>
          <w:r>
            <w:rPr>
              <w:rFonts w:hint="eastAsia" w:ascii="黑体" w:hAnsi="黑体" w:eastAsia="黑体" w:cs="黑体"/>
              <w:kern w:val="44"/>
              <w:szCs w:val="21"/>
              <w:lang w:val="en-US" w:eastAsia="zh-CN" w:bidi="ar-SA"/>
            </w:rPr>
            <w:fldChar w:fldCharType="separate"/>
          </w:r>
          <w:r>
            <w:rPr>
              <w:rFonts w:hint="eastAsia"/>
              <w:szCs w:val="24"/>
              <w:lang w:val="en-US" w:eastAsia="zh-CN"/>
            </w:rPr>
            <w:t>前言</w:t>
          </w:r>
          <w:r>
            <w:tab/>
          </w:r>
          <w:r>
            <w:fldChar w:fldCharType="begin"/>
          </w:r>
          <w:r>
            <w:instrText xml:space="preserve"> PAGEREF _Toc30167 \h </w:instrText>
          </w:r>
          <w:r>
            <w:fldChar w:fldCharType="separate"/>
          </w:r>
          <w:r>
            <w:t>III</w:t>
          </w:r>
          <w:r>
            <w:fldChar w:fldCharType="end"/>
          </w:r>
          <w:r>
            <w:rPr>
              <w:rFonts w:hint="eastAsia" w:ascii="黑体" w:hAnsi="黑体" w:eastAsia="黑体" w:cs="黑体"/>
              <w:kern w:val="44"/>
              <w:szCs w:val="21"/>
              <w:lang w:val="en-US" w:eastAsia="zh-CN" w:bidi="ar-SA"/>
            </w:rPr>
            <w:fldChar w:fldCharType="end"/>
          </w:r>
        </w:p>
        <w:p w14:paraId="2A5AD5C3">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_Toc17471 </w:instrText>
          </w:r>
          <w:r>
            <w:rPr>
              <w:rFonts w:hint="eastAsia" w:ascii="黑体" w:hAnsi="黑体" w:eastAsia="黑体" w:cs="黑体"/>
              <w:kern w:val="44"/>
              <w:szCs w:val="21"/>
              <w:lang w:val="en-US" w:eastAsia="zh-CN" w:bidi="ar-SA"/>
            </w:rPr>
            <w:fldChar w:fldCharType="separate"/>
          </w:r>
          <w:r>
            <w:rPr>
              <w:rFonts w:hint="eastAsia"/>
              <w:szCs w:val="22"/>
              <w:lang w:val="en-US" w:eastAsia="zh-CN"/>
            </w:rPr>
            <w:t>1 范围</w:t>
          </w:r>
          <w:r>
            <w:tab/>
          </w:r>
          <w:r>
            <w:fldChar w:fldCharType="begin"/>
          </w:r>
          <w:r>
            <w:instrText xml:space="preserve"> PAGEREF _Toc17471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2020AB46">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_Toc763 </w:instrText>
          </w:r>
          <w:r>
            <w:rPr>
              <w:rFonts w:hint="eastAsia" w:ascii="黑体" w:hAnsi="黑体" w:eastAsia="黑体" w:cs="黑体"/>
              <w:kern w:val="44"/>
              <w:szCs w:val="21"/>
              <w:lang w:val="en-US" w:eastAsia="zh-CN" w:bidi="ar-SA"/>
            </w:rPr>
            <w:fldChar w:fldCharType="separate"/>
          </w:r>
          <w:r>
            <w:rPr>
              <w:rFonts w:hint="eastAsia"/>
              <w:szCs w:val="22"/>
              <w:lang w:val="en-US" w:eastAsia="zh-CN"/>
            </w:rPr>
            <w:t>2 规范性引用文件</w:t>
          </w:r>
          <w:r>
            <w:tab/>
          </w:r>
          <w:r>
            <w:fldChar w:fldCharType="begin"/>
          </w:r>
          <w:r>
            <w:instrText xml:space="preserve"> PAGEREF _Toc763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0963D44B">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_Toc11037 </w:instrText>
          </w:r>
          <w:r>
            <w:rPr>
              <w:rFonts w:hint="eastAsia" w:ascii="黑体" w:hAnsi="黑体" w:eastAsia="黑体" w:cs="黑体"/>
              <w:kern w:val="44"/>
              <w:szCs w:val="21"/>
              <w:lang w:val="en-US" w:eastAsia="zh-CN" w:bidi="ar-SA"/>
            </w:rPr>
            <w:fldChar w:fldCharType="separate"/>
          </w:r>
          <w:r>
            <w:rPr>
              <w:rFonts w:hint="eastAsia"/>
              <w:szCs w:val="22"/>
              <w:lang w:val="en-US" w:eastAsia="zh-CN"/>
            </w:rPr>
            <w:t>3 术语和定义</w:t>
          </w:r>
          <w:r>
            <w:tab/>
          </w:r>
          <w:r>
            <w:fldChar w:fldCharType="begin"/>
          </w:r>
          <w:r>
            <w:instrText xml:space="preserve"> PAGEREF _Toc11037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50494E81">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_Toc7969 </w:instrText>
          </w:r>
          <w:r>
            <w:rPr>
              <w:rFonts w:hint="eastAsia" w:ascii="黑体" w:hAnsi="黑体" w:eastAsia="黑体" w:cs="黑体"/>
              <w:kern w:val="44"/>
              <w:szCs w:val="21"/>
              <w:lang w:val="en-US" w:eastAsia="zh-CN" w:bidi="ar-SA"/>
            </w:rPr>
            <w:fldChar w:fldCharType="separate"/>
          </w:r>
          <w:r>
            <w:rPr>
              <w:rFonts w:hint="eastAsia"/>
              <w:bCs/>
              <w:szCs w:val="22"/>
              <w:lang w:val="en-US" w:eastAsia="zh-CN"/>
            </w:rPr>
            <w:t>4 基本要求</w:t>
          </w:r>
          <w:r>
            <w:tab/>
          </w:r>
          <w:r>
            <w:fldChar w:fldCharType="begin"/>
          </w:r>
          <w:r>
            <w:instrText xml:space="preserve"> PAGEREF _Toc7969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05D14F78">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_Toc29066 </w:instrText>
          </w:r>
          <w:r>
            <w:rPr>
              <w:rFonts w:hint="eastAsia" w:ascii="黑体" w:hAnsi="黑体" w:eastAsia="黑体" w:cs="黑体"/>
              <w:kern w:val="44"/>
              <w:szCs w:val="21"/>
              <w:lang w:val="en-US" w:eastAsia="zh-CN" w:bidi="ar-SA"/>
            </w:rPr>
            <w:fldChar w:fldCharType="separate"/>
          </w:r>
          <w:r>
            <w:rPr>
              <w:rFonts w:hint="eastAsia"/>
              <w:szCs w:val="22"/>
              <w:lang w:val="en-US" w:eastAsia="zh-CN"/>
            </w:rPr>
            <w:t>4.1　场所</w:t>
          </w:r>
          <w:r>
            <w:tab/>
          </w:r>
          <w:r>
            <w:fldChar w:fldCharType="begin"/>
          </w:r>
          <w:r>
            <w:instrText xml:space="preserve"> PAGEREF _Toc29066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4301A61F">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_Toc21473 </w:instrText>
          </w:r>
          <w:r>
            <w:rPr>
              <w:rFonts w:hint="eastAsia" w:ascii="黑体" w:hAnsi="黑体" w:eastAsia="黑体" w:cs="黑体"/>
              <w:kern w:val="44"/>
              <w:szCs w:val="21"/>
              <w:lang w:val="en-US" w:eastAsia="zh-CN" w:bidi="ar-SA"/>
            </w:rPr>
            <w:fldChar w:fldCharType="separate"/>
          </w:r>
          <w:r>
            <w:rPr>
              <w:rFonts w:hint="eastAsia"/>
              <w:szCs w:val="22"/>
              <w:lang w:val="en-US" w:eastAsia="zh-CN"/>
            </w:rPr>
            <w:t>4.2　人员</w:t>
          </w:r>
          <w:r>
            <w:tab/>
          </w:r>
          <w:r>
            <w:fldChar w:fldCharType="begin"/>
          </w:r>
          <w:r>
            <w:instrText xml:space="preserve"> PAGEREF _Toc21473 \h </w:instrText>
          </w:r>
          <w:r>
            <w:fldChar w:fldCharType="separate"/>
          </w:r>
          <w:r>
            <w:t>1</w:t>
          </w:r>
          <w:r>
            <w:fldChar w:fldCharType="end"/>
          </w:r>
          <w:r>
            <w:rPr>
              <w:rFonts w:hint="eastAsia" w:ascii="黑体" w:hAnsi="黑体" w:eastAsia="黑体" w:cs="黑体"/>
              <w:kern w:val="44"/>
              <w:szCs w:val="21"/>
              <w:lang w:val="en-US" w:eastAsia="zh-CN" w:bidi="ar-SA"/>
            </w:rPr>
            <w:fldChar w:fldCharType="end"/>
          </w:r>
        </w:p>
        <w:p w14:paraId="428DE2C8">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_Toc12629 </w:instrText>
          </w:r>
          <w:r>
            <w:rPr>
              <w:rFonts w:hint="eastAsia" w:ascii="黑体" w:hAnsi="黑体" w:eastAsia="黑体" w:cs="黑体"/>
              <w:kern w:val="44"/>
              <w:szCs w:val="21"/>
              <w:lang w:val="en-US" w:eastAsia="zh-CN" w:bidi="ar-SA"/>
            </w:rPr>
            <w:fldChar w:fldCharType="separate"/>
          </w:r>
          <w:r>
            <w:rPr>
              <w:rFonts w:hint="eastAsia"/>
              <w:szCs w:val="22"/>
              <w:lang w:val="en-US" w:eastAsia="zh-CN"/>
            </w:rPr>
            <w:t>4.3　服务场所</w:t>
          </w:r>
          <w:r>
            <w:tab/>
          </w:r>
          <w:r>
            <w:fldChar w:fldCharType="begin"/>
          </w:r>
          <w:r>
            <w:instrText xml:space="preserve"> PAGEREF _Toc12629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4A5A52B4">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_Toc6143 </w:instrText>
          </w:r>
          <w:r>
            <w:rPr>
              <w:rFonts w:hint="eastAsia" w:ascii="黑体" w:hAnsi="黑体" w:eastAsia="黑体" w:cs="黑体"/>
              <w:kern w:val="44"/>
              <w:szCs w:val="21"/>
              <w:lang w:val="en-US" w:eastAsia="zh-CN" w:bidi="ar-SA"/>
            </w:rPr>
            <w:fldChar w:fldCharType="separate"/>
          </w:r>
          <w:r>
            <w:rPr>
              <w:rFonts w:hint="eastAsia"/>
              <w:szCs w:val="22"/>
              <w:lang w:val="en-US" w:eastAsia="zh-CN"/>
            </w:rPr>
            <w:t>4.4　服务工具与资料</w:t>
          </w:r>
          <w:r>
            <w:tab/>
          </w:r>
          <w:r>
            <w:fldChar w:fldCharType="begin"/>
          </w:r>
          <w:r>
            <w:instrText xml:space="preserve"> PAGEREF _Toc6143 \h </w:instrText>
          </w:r>
          <w:r>
            <w:fldChar w:fldCharType="separate"/>
          </w:r>
          <w:r>
            <w:t>2</w:t>
          </w:r>
          <w:r>
            <w:fldChar w:fldCharType="end"/>
          </w:r>
          <w:r>
            <w:rPr>
              <w:rFonts w:hint="eastAsia" w:ascii="黑体" w:hAnsi="黑体" w:eastAsia="黑体" w:cs="黑体"/>
              <w:kern w:val="44"/>
              <w:szCs w:val="21"/>
              <w:lang w:val="en-US" w:eastAsia="zh-CN" w:bidi="ar-SA"/>
            </w:rPr>
            <w:fldChar w:fldCharType="end"/>
          </w:r>
        </w:p>
        <w:p w14:paraId="37E0133A">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_Toc413 </w:instrText>
          </w:r>
          <w:r>
            <w:rPr>
              <w:rFonts w:hint="eastAsia" w:ascii="黑体" w:hAnsi="黑体" w:eastAsia="黑体" w:cs="黑体"/>
              <w:kern w:val="44"/>
              <w:szCs w:val="21"/>
              <w:lang w:val="en-US" w:eastAsia="zh-CN" w:bidi="ar-SA"/>
            </w:rPr>
            <w:fldChar w:fldCharType="separate"/>
          </w:r>
          <w:r>
            <w:rPr>
              <w:rFonts w:hint="default"/>
              <w:szCs w:val="22"/>
              <w:lang w:val="en-US" w:eastAsia="zh-CN"/>
            </w:rPr>
            <w:t>5 服务对象和内容</w:t>
          </w:r>
          <w:r>
            <w:tab/>
          </w:r>
          <w:r>
            <w:fldChar w:fldCharType="begin"/>
          </w:r>
          <w:r>
            <w:instrText xml:space="preserve"> PAGEREF _Toc413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1B906A0A">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_Toc23522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 服务流程</w:t>
          </w:r>
          <w:r>
            <w:tab/>
          </w:r>
          <w:r>
            <w:fldChar w:fldCharType="begin"/>
          </w:r>
          <w:r>
            <w:instrText xml:space="preserve"> PAGEREF _Toc23522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6167D658">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_Toc30696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6.1  职业规划咨询</w:t>
          </w:r>
          <w:r>
            <w:tab/>
          </w:r>
          <w:r>
            <w:fldChar w:fldCharType="begin"/>
          </w:r>
          <w:r>
            <w:instrText xml:space="preserve"> PAGEREF _Toc30696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738DDC9C">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_Toc4807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6.2  职业技能培训</w:t>
          </w:r>
          <w:r>
            <w:tab/>
          </w:r>
          <w:r>
            <w:fldChar w:fldCharType="begin"/>
          </w:r>
          <w:r>
            <w:instrText xml:space="preserve"> PAGEREF _Toc4807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3F50B9C6">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_Toc26375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6.3  岗位推荐与就业服务</w:t>
          </w:r>
          <w:r>
            <w:tab/>
          </w:r>
          <w:r>
            <w:fldChar w:fldCharType="begin"/>
          </w:r>
          <w:r>
            <w:instrText xml:space="preserve"> PAGEREF _Toc26375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4BB2376F">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_Toc26269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6.4  创业指导服务</w:t>
          </w:r>
          <w:r>
            <w:tab/>
          </w:r>
          <w:r>
            <w:fldChar w:fldCharType="begin"/>
          </w:r>
          <w:r>
            <w:instrText xml:space="preserve"> PAGEREF _Toc26269 \h </w:instrText>
          </w:r>
          <w:r>
            <w:fldChar w:fldCharType="separate"/>
          </w:r>
          <w:r>
            <w:t>3</w:t>
          </w:r>
          <w:r>
            <w:fldChar w:fldCharType="end"/>
          </w:r>
          <w:r>
            <w:rPr>
              <w:rFonts w:hint="eastAsia" w:ascii="黑体" w:hAnsi="黑体" w:eastAsia="黑体" w:cs="黑体"/>
              <w:kern w:val="44"/>
              <w:szCs w:val="21"/>
              <w:lang w:val="en-US" w:eastAsia="zh-CN" w:bidi="ar-SA"/>
            </w:rPr>
            <w:fldChar w:fldCharType="end"/>
          </w:r>
        </w:p>
        <w:p w14:paraId="4DBC8C14">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_Toc29194 </w:instrText>
          </w:r>
          <w:r>
            <w:rPr>
              <w:rFonts w:hint="eastAsia" w:ascii="黑体" w:hAnsi="黑体" w:eastAsia="黑体" w:cs="黑体"/>
              <w:kern w:val="44"/>
              <w:szCs w:val="21"/>
              <w:lang w:val="en-US" w:eastAsia="zh-CN" w:bidi="ar-SA"/>
            </w:rPr>
            <w:fldChar w:fldCharType="separate"/>
          </w:r>
          <w:r>
            <w:rPr>
              <w:rFonts w:hint="eastAsia"/>
              <w:szCs w:val="22"/>
              <w:lang w:val="en-US" w:eastAsia="zh-CN"/>
            </w:rPr>
            <w:t>6.5  就业跟踪服务</w:t>
          </w:r>
          <w:r>
            <w:tab/>
          </w:r>
          <w:r>
            <w:fldChar w:fldCharType="begin"/>
          </w:r>
          <w:r>
            <w:instrText xml:space="preserve"> PAGEREF _Toc29194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66E17AF0">
          <w:pPr>
            <w:pStyle w:val="6"/>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_Toc29609 </w:instrText>
          </w:r>
          <w:r>
            <w:rPr>
              <w:rFonts w:hint="eastAsia" w:ascii="黑体" w:hAnsi="黑体" w:eastAsia="黑体" w:cs="黑体"/>
              <w:kern w:val="44"/>
              <w:szCs w:val="21"/>
              <w:lang w:val="en-US" w:eastAsia="zh-CN" w:bidi="ar-SA"/>
            </w:rPr>
            <w:fldChar w:fldCharType="separate"/>
          </w:r>
          <w:r>
            <w:rPr>
              <w:rFonts w:hint="eastAsia"/>
              <w:szCs w:val="22"/>
              <w:lang w:val="en-US" w:eastAsia="zh-CN"/>
            </w:rPr>
            <w:t>7 评价与持续改进</w:t>
          </w:r>
          <w:r>
            <w:tab/>
          </w:r>
          <w:r>
            <w:fldChar w:fldCharType="begin"/>
          </w:r>
          <w:r>
            <w:instrText xml:space="preserve"> PAGEREF _Toc29609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055C10DE">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_Toc31688 </w:instrText>
          </w:r>
          <w:r>
            <w:rPr>
              <w:rFonts w:hint="eastAsia" w:ascii="黑体" w:hAnsi="黑体" w:eastAsia="黑体" w:cs="黑体"/>
              <w:kern w:val="44"/>
              <w:szCs w:val="21"/>
              <w:lang w:val="en-US" w:eastAsia="zh-CN" w:bidi="ar-SA"/>
            </w:rPr>
            <w:fldChar w:fldCharType="separate"/>
          </w:r>
          <w:r>
            <w:rPr>
              <w:rFonts w:hint="eastAsia"/>
              <w:szCs w:val="22"/>
              <w:lang w:val="en-US" w:eastAsia="zh-CN"/>
            </w:rPr>
            <w:t>7.1  服务监督</w:t>
          </w:r>
          <w:r>
            <w:tab/>
          </w:r>
          <w:r>
            <w:fldChar w:fldCharType="begin"/>
          </w:r>
          <w:r>
            <w:instrText xml:space="preserve"> PAGEREF _Toc31688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1573018A">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_Toc4709 </w:instrText>
          </w:r>
          <w:r>
            <w:rPr>
              <w:rFonts w:hint="eastAsia" w:ascii="黑体" w:hAnsi="黑体" w:eastAsia="黑体" w:cs="黑体"/>
              <w:kern w:val="44"/>
              <w:szCs w:val="21"/>
              <w:lang w:val="en-US" w:eastAsia="zh-CN" w:bidi="ar-SA"/>
            </w:rPr>
            <w:fldChar w:fldCharType="separate"/>
          </w:r>
          <w:r>
            <w:rPr>
              <w:rFonts w:hint="eastAsia"/>
              <w:szCs w:val="22"/>
              <w:lang w:val="en-US" w:eastAsia="zh-CN"/>
            </w:rPr>
            <w:t>7.2  服务质量评价</w:t>
          </w:r>
          <w:r>
            <w:tab/>
          </w:r>
          <w:r>
            <w:fldChar w:fldCharType="begin"/>
          </w:r>
          <w:r>
            <w:instrText xml:space="preserve"> PAGEREF _Toc4709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01C90A56">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_Toc32721 </w:instrText>
          </w:r>
          <w:r>
            <w:rPr>
              <w:rFonts w:hint="eastAsia" w:ascii="黑体" w:hAnsi="黑体" w:eastAsia="黑体" w:cs="黑体"/>
              <w:kern w:val="44"/>
              <w:szCs w:val="21"/>
              <w:lang w:val="en-US" w:eastAsia="zh-CN" w:bidi="ar-SA"/>
            </w:rPr>
            <w:fldChar w:fldCharType="separate"/>
          </w:r>
          <w:r>
            <w:rPr>
              <w:rFonts w:hint="eastAsia"/>
              <w:szCs w:val="22"/>
              <w:lang w:val="en-US" w:eastAsia="zh-CN"/>
            </w:rPr>
            <w:t>7.3  投诉处理</w:t>
          </w:r>
          <w:r>
            <w:tab/>
          </w:r>
          <w:r>
            <w:fldChar w:fldCharType="begin"/>
          </w:r>
          <w:r>
            <w:instrText xml:space="preserve"> PAGEREF _Toc32721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13C6C299">
          <w:pPr>
            <w:pStyle w:val="7"/>
            <w:tabs>
              <w:tab w:val="right" w:leader="dot" w:pos="8306"/>
            </w:tabs>
          </w:pPr>
          <w:r>
            <w:rPr>
              <w:rFonts w:hint="eastAsia" w:ascii="黑体" w:hAnsi="黑体" w:eastAsia="黑体" w:cs="黑体"/>
              <w:kern w:val="44"/>
              <w:szCs w:val="21"/>
              <w:lang w:val="en-US" w:eastAsia="zh-CN" w:bidi="ar-SA"/>
            </w:rPr>
            <w:fldChar w:fldCharType="begin"/>
          </w:r>
          <w:r>
            <w:rPr>
              <w:rFonts w:hint="eastAsia" w:ascii="黑体" w:hAnsi="黑体" w:eastAsia="黑体" w:cs="黑体"/>
              <w:kern w:val="44"/>
              <w:szCs w:val="21"/>
              <w:lang w:val="en-US" w:eastAsia="zh-CN" w:bidi="ar-SA"/>
            </w:rPr>
            <w:instrText xml:space="preserve"> HYPERLINK \l _Toc10549 </w:instrText>
          </w:r>
          <w:r>
            <w:rPr>
              <w:rFonts w:hint="eastAsia" w:ascii="黑体" w:hAnsi="黑体" w:eastAsia="黑体" w:cs="黑体"/>
              <w:kern w:val="44"/>
              <w:szCs w:val="21"/>
              <w:lang w:val="en-US" w:eastAsia="zh-CN" w:bidi="ar-SA"/>
            </w:rPr>
            <w:fldChar w:fldCharType="separate"/>
          </w:r>
          <w:r>
            <w:rPr>
              <w:rFonts w:hint="eastAsia"/>
              <w:szCs w:val="22"/>
              <w:lang w:val="en-US" w:eastAsia="zh-CN"/>
            </w:rPr>
            <w:t>7.4  持续改进</w:t>
          </w:r>
          <w:r>
            <w:tab/>
          </w:r>
          <w:r>
            <w:fldChar w:fldCharType="begin"/>
          </w:r>
          <w:r>
            <w:instrText xml:space="preserve"> PAGEREF _Toc10549 \h </w:instrText>
          </w:r>
          <w:r>
            <w:fldChar w:fldCharType="separate"/>
          </w:r>
          <w:r>
            <w:t>4</w:t>
          </w:r>
          <w:r>
            <w:fldChar w:fldCharType="end"/>
          </w:r>
          <w:r>
            <w:rPr>
              <w:rFonts w:hint="eastAsia" w:ascii="黑体" w:hAnsi="黑体" w:eastAsia="黑体" w:cs="黑体"/>
              <w:kern w:val="44"/>
              <w:szCs w:val="21"/>
              <w:lang w:val="en-US" w:eastAsia="zh-CN" w:bidi="ar-SA"/>
            </w:rPr>
            <w:fldChar w:fldCharType="end"/>
          </w:r>
        </w:p>
        <w:p w14:paraId="347FB4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kern w:val="44"/>
              <w:sz w:val="24"/>
              <w:szCs w:val="21"/>
              <w:lang w:val="en-US" w:eastAsia="zh-CN" w:bidi="ar-SA"/>
            </w:rPr>
          </w:pPr>
          <w:r>
            <w:rPr>
              <w:rFonts w:hint="eastAsia" w:ascii="黑体" w:hAnsi="黑体" w:eastAsia="黑体" w:cs="黑体"/>
              <w:kern w:val="44"/>
              <w:szCs w:val="21"/>
              <w:lang w:val="en-US" w:eastAsia="zh-CN" w:bidi="ar-SA"/>
            </w:rPr>
            <w:fldChar w:fldCharType="end"/>
          </w:r>
        </w:p>
      </w:sdtContent>
    </w:sdt>
    <w:p w14:paraId="7933F8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kern w:val="44"/>
          <w:sz w:val="21"/>
          <w:szCs w:val="18"/>
          <w:lang w:val="en-US" w:eastAsia="zh-CN" w:bidi="ar-SA"/>
        </w:rPr>
      </w:pPr>
    </w:p>
    <w:p w14:paraId="5B984296">
      <w:pPr>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rPr>
          <w:rFonts w:hint="default" w:ascii="黑体" w:hAnsi="黑体" w:eastAsia="黑体" w:cs="黑体"/>
          <w:b/>
          <w:kern w:val="44"/>
          <w:sz w:val="36"/>
          <w:szCs w:val="21"/>
          <w:lang w:val="en-US" w:eastAsia="zh-CN" w:bidi="ar-SA"/>
        </w:rPr>
      </w:pPr>
    </w:p>
    <w:p w14:paraId="4C495BFE">
      <w:pPr>
        <w:rPr>
          <w:rFonts w:hint="eastAsia" w:ascii="黑体" w:hAnsi="黑体" w:eastAsia="黑体" w:cs="黑体"/>
          <w:b/>
          <w:kern w:val="44"/>
          <w:sz w:val="36"/>
          <w:szCs w:val="21"/>
          <w:lang w:val="en-US" w:eastAsia="zh-CN" w:bidi="ar-SA"/>
        </w:rPr>
      </w:pPr>
      <w:r>
        <w:rPr>
          <w:rFonts w:hint="eastAsia" w:ascii="黑体" w:hAnsi="黑体" w:eastAsia="黑体" w:cs="黑体"/>
          <w:b/>
          <w:kern w:val="44"/>
          <w:sz w:val="36"/>
          <w:szCs w:val="21"/>
          <w:lang w:val="en-US" w:eastAsia="zh-CN" w:bidi="ar-SA"/>
        </w:rPr>
        <w:br w:type="page"/>
      </w:r>
    </w:p>
    <w:p w14:paraId="1992105F">
      <w:pPr>
        <w:pStyle w:val="2"/>
        <w:bidi w:val="0"/>
        <w:jc w:val="center"/>
        <w:rPr>
          <w:rFonts w:hint="eastAsia"/>
          <w:sz w:val="32"/>
          <w:szCs w:val="24"/>
          <w:lang w:val="en-US" w:eastAsia="zh-CN"/>
        </w:rPr>
      </w:pPr>
      <w:bookmarkStart w:id="0" w:name="_Toc30167"/>
      <w:r>
        <w:rPr>
          <w:rFonts w:hint="eastAsia"/>
          <w:sz w:val="32"/>
          <w:szCs w:val="24"/>
          <w:lang w:val="en-US" w:eastAsia="zh-CN"/>
        </w:rPr>
        <w:t>前言</w:t>
      </w:r>
      <w:bookmarkEnd w:id="0"/>
    </w:p>
    <w:p w14:paraId="415ECF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依据 GB/T 1.1—2020</w:t>
      </w:r>
      <w:r>
        <w:rPr>
          <w:rFonts w:hint="eastAsia"/>
          <w:sz w:val="24"/>
          <w:szCs w:val="32"/>
          <w:lang w:eastAsia="zh-CN"/>
        </w:rPr>
        <w:t>《</w:t>
      </w:r>
      <w:r>
        <w:rPr>
          <w:rFonts w:hint="eastAsia"/>
          <w:sz w:val="24"/>
          <w:szCs w:val="32"/>
        </w:rPr>
        <w:t>标准化工作导则</w:t>
      </w:r>
      <w:r>
        <w:rPr>
          <w:rFonts w:hint="eastAsia"/>
          <w:sz w:val="24"/>
          <w:szCs w:val="32"/>
          <w:lang w:val="en-US" w:eastAsia="zh-CN"/>
        </w:rPr>
        <w:t xml:space="preserve"> </w:t>
      </w:r>
      <w:r>
        <w:rPr>
          <w:rFonts w:hint="eastAsia"/>
          <w:sz w:val="24"/>
          <w:szCs w:val="32"/>
        </w:rPr>
        <w:t>第1部分:标准化文件的结构和起草规则》</w:t>
      </w:r>
      <w:r>
        <w:rPr>
          <w:rFonts w:hint="eastAsia"/>
          <w:sz w:val="24"/>
          <w:szCs w:val="32"/>
          <w:lang w:val="en-US" w:eastAsia="zh-CN"/>
        </w:rPr>
        <w:t>给出的规则</w:t>
      </w:r>
      <w:r>
        <w:rPr>
          <w:rFonts w:hint="eastAsia"/>
          <w:sz w:val="24"/>
          <w:szCs w:val="32"/>
        </w:rPr>
        <w:t>起草。</w:t>
      </w:r>
    </w:p>
    <w:p w14:paraId="3BE7A2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本标准由</w:t>
      </w:r>
      <w:r>
        <w:rPr>
          <w:rFonts w:hint="eastAsia"/>
          <w:sz w:val="24"/>
          <w:szCs w:val="32"/>
          <w:highlight w:val="yellow"/>
          <w:lang w:val="en-US" w:eastAsia="zh-CN"/>
        </w:rPr>
        <w:t>xxxx（部门）</w:t>
      </w:r>
      <w:r>
        <w:rPr>
          <w:rFonts w:hint="eastAsia"/>
          <w:sz w:val="24"/>
          <w:szCs w:val="32"/>
          <w:lang w:val="en-US" w:eastAsia="zh-CN"/>
        </w:rPr>
        <w:t>提出，由</w:t>
      </w:r>
      <w:r>
        <w:rPr>
          <w:rFonts w:hint="eastAsia"/>
          <w:sz w:val="24"/>
          <w:szCs w:val="32"/>
          <w:highlight w:val="yellow"/>
          <w:lang w:val="en-US" w:eastAsia="zh-CN"/>
        </w:rPr>
        <w:t>xxxx（部门）</w:t>
      </w:r>
      <w:r>
        <w:rPr>
          <w:rFonts w:hint="eastAsia"/>
          <w:sz w:val="24"/>
          <w:szCs w:val="32"/>
          <w:lang w:val="en-US" w:eastAsia="zh-CN"/>
        </w:rPr>
        <w:t>归口。</w:t>
      </w:r>
    </w:p>
    <w:p w14:paraId="0A820F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本标准起草单位：江苏开放大学。</w:t>
      </w:r>
    </w:p>
    <w:p w14:paraId="77BEAC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本标注主要起草人：朱惠茹、赵岩、王陶、曾繁宇、杨彬</w:t>
      </w:r>
      <w:bookmarkStart w:id="21" w:name="_GoBack"/>
      <w:bookmarkEnd w:id="21"/>
      <w:r>
        <w:rPr>
          <w:rFonts w:hint="eastAsia"/>
          <w:sz w:val="24"/>
          <w:szCs w:val="32"/>
          <w:lang w:val="en-US" w:eastAsia="zh-CN"/>
        </w:rPr>
        <w:t>、魏宋嘉毅。</w:t>
      </w:r>
    </w:p>
    <w:p w14:paraId="4445C142">
      <w:pPr>
        <w:rPr>
          <w:rFonts w:hint="eastAsia" w:ascii="黑体" w:hAnsi="黑体" w:eastAsia="黑体" w:cs="黑体"/>
          <w:b/>
          <w:kern w:val="44"/>
          <w:sz w:val="36"/>
          <w:szCs w:val="21"/>
          <w:lang w:val="en-US" w:eastAsia="zh-CN" w:bidi="ar-SA"/>
        </w:rPr>
      </w:pPr>
      <w:r>
        <w:rPr>
          <w:rFonts w:hint="eastAsia" w:ascii="黑体" w:hAnsi="黑体" w:eastAsia="黑体" w:cs="黑体"/>
          <w:b/>
          <w:kern w:val="44"/>
          <w:sz w:val="36"/>
          <w:szCs w:val="21"/>
          <w:lang w:val="en-US" w:eastAsia="zh-CN" w:bidi="ar-SA"/>
        </w:rPr>
        <w:br w:type="page"/>
      </w:r>
    </w:p>
    <w:p w14:paraId="1D4B5570">
      <w:pPr>
        <w:pStyle w:val="2"/>
        <w:keepNext/>
        <w:keepLines/>
        <w:pageBreakBefore w:val="0"/>
        <w:widowControl w:val="0"/>
        <w:kinsoku/>
        <w:wordWrap/>
        <w:overflowPunct/>
        <w:topLinePunct w:val="0"/>
        <w:autoSpaceDE/>
        <w:autoSpaceDN/>
        <w:bidi w:val="0"/>
        <w:adjustRightInd/>
        <w:snapToGrid/>
        <w:spacing w:before="100" w:after="90"/>
        <w:ind w:firstLine="0" w:firstLineChars="0"/>
        <w:jc w:val="center"/>
        <w:textAlignment w:val="auto"/>
        <w:rPr>
          <w:rFonts w:hint="eastAsia" w:ascii="黑体" w:hAnsi="黑体" w:eastAsia="黑体" w:cs="黑体"/>
          <w:b/>
          <w:bCs w:val="0"/>
          <w:sz w:val="40"/>
          <w:szCs w:val="22"/>
          <w:lang w:val="en-US" w:eastAsia="zh-CN"/>
        </w:rPr>
        <w:sectPr>
          <w:footerReference r:id="rId3" w:type="default"/>
          <w:pgSz w:w="11906" w:h="16838"/>
          <w:pgMar w:top="1440" w:right="1800" w:bottom="1440" w:left="1800" w:header="851" w:footer="992" w:gutter="0"/>
          <w:pgNumType w:fmt="upperRoman"/>
          <w:cols w:space="425" w:num="1"/>
          <w:docGrid w:type="lines" w:linePitch="312" w:charSpace="0"/>
        </w:sectPr>
      </w:pPr>
    </w:p>
    <w:p w14:paraId="6A8AAA91">
      <w:pPr>
        <w:bidi w:val="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退役军人职业指导服务规范</w:t>
      </w:r>
    </w:p>
    <w:p w14:paraId="0A06E532">
      <w:pPr>
        <w:pStyle w:val="2"/>
        <w:bidi w:val="0"/>
        <w:rPr>
          <w:rFonts w:hint="eastAsia"/>
          <w:sz w:val="28"/>
          <w:szCs w:val="22"/>
          <w:lang w:val="en-US" w:eastAsia="zh-CN"/>
        </w:rPr>
      </w:pPr>
      <w:bookmarkStart w:id="1" w:name="_Toc17471"/>
      <w:r>
        <w:rPr>
          <w:rFonts w:hint="eastAsia"/>
          <w:sz w:val="28"/>
          <w:szCs w:val="22"/>
          <w:lang w:val="en-US" w:eastAsia="zh-CN"/>
        </w:rPr>
        <w:t>1 范围</w:t>
      </w:r>
      <w:bookmarkEnd w:id="1"/>
    </w:p>
    <w:p w14:paraId="791632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 xml:space="preserve">规定了退役军人职业指导服务的服务内容与流程、服务保障、质量控制、评价与改进、档案管理、安全与应急、持续改进等要求。  </w:t>
      </w:r>
    </w:p>
    <w:p w14:paraId="22936F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w:t>
      </w:r>
      <w:r>
        <w:rPr>
          <w:rFonts w:hint="eastAsia"/>
          <w:sz w:val="24"/>
          <w:szCs w:val="32"/>
          <w:lang w:val="en-US" w:eastAsia="zh-CN"/>
        </w:rPr>
        <w:t>标准</w:t>
      </w:r>
      <w:r>
        <w:rPr>
          <w:rFonts w:hint="eastAsia"/>
          <w:sz w:val="24"/>
          <w:szCs w:val="32"/>
        </w:rPr>
        <w:t>适用于拉萨市行政区域内依法设立、为退役军人提供职业指导服务的机构及其工作人员。</w:t>
      </w:r>
    </w:p>
    <w:p w14:paraId="2CB7E373">
      <w:pPr>
        <w:pStyle w:val="2"/>
        <w:bidi w:val="0"/>
        <w:rPr>
          <w:rFonts w:hint="eastAsia"/>
          <w:sz w:val="28"/>
          <w:szCs w:val="22"/>
          <w:lang w:val="en-US" w:eastAsia="zh-CN"/>
        </w:rPr>
      </w:pPr>
      <w:bookmarkStart w:id="2" w:name="_Toc763"/>
      <w:r>
        <w:rPr>
          <w:rFonts w:hint="eastAsia"/>
          <w:sz w:val="28"/>
          <w:szCs w:val="22"/>
          <w:lang w:val="en-US" w:eastAsia="zh-CN"/>
        </w:rPr>
        <w:t>2 规范性引用文件</w:t>
      </w:r>
      <w:bookmarkEnd w:id="2"/>
      <w:r>
        <w:rPr>
          <w:rFonts w:hint="eastAsia"/>
          <w:sz w:val="28"/>
          <w:szCs w:val="22"/>
          <w:lang w:val="en-US" w:eastAsia="zh-CN"/>
        </w:rPr>
        <w:t xml:space="preserve">  </w:t>
      </w:r>
    </w:p>
    <w:p w14:paraId="23B69A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下列文件中的内容通过文中的规范性引用而构成本文件必不可少的条款。凡是注日期的引用文件，仅注日期的版本适用于本文件；凡是不注日期的引用文件，其最新版本适用于本文件。  </w:t>
      </w:r>
    </w:p>
    <w:p w14:paraId="7F2E31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GB/T 1.1—2020 标准化工作导则 </w:t>
      </w:r>
    </w:p>
    <w:p w14:paraId="002652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GB/T 33528—2017 公共就业服务术语  </w:t>
      </w:r>
    </w:p>
    <w:p w14:paraId="4B8207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GB/T 36918—2018 职业能力测评规范  </w:t>
      </w:r>
    </w:p>
    <w:p w14:paraId="4B80D6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GB/T 36964—2018 就业培训与指导服务规范  </w:t>
      </w:r>
    </w:p>
    <w:p w14:paraId="6FC81E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GB/T 39054—2020 公共就业创业服务总则  </w:t>
      </w:r>
    </w:p>
    <w:p w14:paraId="7A9A56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GB/T 42765—2023 退役军人就业创业服务规范</w:t>
      </w:r>
    </w:p>
    <w:p w14:paraId="032B7463">
      <w:pPr>
        <w:pStyle w:val="2"/>
        <w:bidi w:val="0"/>
        <w:rPr>
          <w:rFonts w:hint="eastAsia"/>
          <w:sz w:val="28"/>
          <w:szCs w:val="22"/>
        </w:rPr>
      </w:pPr>
      <w:bookmarkStart w:id="3" w:name="_Toc11037"/>
      <w:r>
        <w:rPr>
          <w:rFonts w:hint="eastAsia"/>
          <w:sz w:val="28"/>
          <w:szCs w:val="22"/>
          <w:lang w:val="en-US" w:eastAsia="zh-CN"/>
        </w:rPr>
        <w:t>3 术语和定义</w:t>
      </w:r>
      <w:bookmarkEnd w:id="3"/>
      <w:r>
        <w:rPr>
          <w:rFonts w:hint="eastAsia"/>
          <w:sz w:val="28"/>
          <w:szCs w:val="22"/>
          <w:lang w:val="en-US" w:eastAsia="zh-CN"/>
        </w:rPr>
        <w:t xml:space="preserve"> </w:t>
      </w:r>
      <w:r>
        <w:rPr>
          <w:rFonts w:hint="eastAsia"/>
          <w:sz w:val="28"/>
          <w:szCs w:val="22"/>
        </w:rPr>
        <w:t xml:space="preserve"> </w:t>
      </w:r>
    </w:p>
    <w:p w14:paraId="1A6FA2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GB/T 33528、GB/T 42765 界定</w:t>
      </w:r>
      <w:r>
        <w:rPr>
          <w:rFonts w:hint="eastAsia"/>
          <w:sz w:val="24"/>
          <w:szCs w:val="32"/>
          <w:lang w:val="en-US" w:eastAsia="zh-CN"/>
        </w:rPr>
        <w:t>的</w:t>
      </w:r>
      <w:r>
        <w:rPr>
          <w:rFonts w:hint="eastAsia"/>
          <w:sz w:val="24"/>
          <w:szCs w:val="32"/>
        </w:rPr>
        <w:t xml:space="preserve">术语和定义适用于本文件。  </w:t>
      </w:r>
    </w:p>
    <w:p w14:paraId="26639F89">
      <w:pPr>
        <w:pStyle w:val="2"/>
        <w:bidi w:val="0"/>
        <w:rPr>
          <w:rFonts w:hint="eastAsia"/>
          <w:b w:val="0"/>
          <w:bCs/>
          <w:sz w:val="28"/>
          <w:szCs w:val="22"/>
          <w:lang w:val="en-US" w:eastAsia="zh-CN"/>
        </w:rPr>
      </w:pPr>
      <w:bookmarkStart w:id="4" w:name="_Toc7969"/>
      <w:r>
        <w:rPr>
          <w:rFonts w:hint="eastAsia"/>
          <w:b w:val="0"/>
          <w:bCs/>
          <w:sz w:val="28"/>
          <w:szCs w:val="22"/>
          <w:lang w:val="en-US" w:eastAsia="zh-CN"/>
        </w:rPr>
        <w:t>4 基本要求</w:t>
      </w:r>
      <w:bookmarkEnd w:id="4"/>
    </w:p>
    <w:p w14:paraId="3C34938A">
      <w:pPr>
        <w:pStyle w:val="3"/>
        <w:bidi w:val="0"/>
        <w:rPr>
          <w:rFonts w:hint="eastAsia"/>
          <w:sz w:val="24"/>
          <w:szCs w:val="22"/>
          <w:lang w:val="en-US" w:eastAsia="zh-CN"/>
        </w:rPr>
      </w:pPr>
      <w:bookmarkStart w:id="5" w:name="_Toc29066"/>
      <w:r>
        <w:rPr>
          <w:rFonts w:hint="eastAsia"/>
          <w:sz w:val="24"/>
          <w:szCs w:val="22"/>
          <w:lang w:val="en-US" w:eastAsia="zh-CN"/>
        </w:rPr>
        <w:t>4.1　场所</w:t>
      </w:r>
      <w:bookmarkEnd w:id="5"/>
    </w:p>
    <w:p w14:paraId="6D80B7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4.1.1 场所要求应符合GB/T 33554的相关规定。</w:t>
      </w:r>
    </w:p>
    <w:p w14:paraId="5F2545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4.1.2 退役军人职业指导服务区域在空间尺度、动线设计、光线色彩、陈设标识等方面应体现军旅文化元素与民族特色，营造庄重、安全、亲切的服务氛围，并适应退役军人集中接待、团体辅导、个体咨询、线上连线等多种服务场景。</w:t>
      </w:r>
    </w:p>
    <w:p w14:paraId="471181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4.1.3 场所应设置不少于两处疏散通道和安全出口，消防疏散指示标识应汉藏双语显示，并符合GB 50016要求。</w:t>
      </w:r>
    </w:p>
    <w:p w14:paraId="6F0414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4.1.4 应配备开展退役军人职业指导所必需的专业软件、专业工具、专业书籍及政策资料，并建立日常更新与维护制度。</w:t>
      </w:r>
    </w:p>
    <w:p w14:paraId="1C4D34F5">
      <w:pPr>
        <w:pStyle w:val="3"/>
        <w:bidi w:val="0"/>
        <w:rPr>
          <w:rFonts w:hint="default"/>
          <w:sz w:val="24"/>
          <w:szCs w:val="22"/>
          <w:lang w:val="en-US" w:eastAsia="zh-CN"/>
        </w:rPr>
      </w:pPr>
      <w:bookmarkStart w:id="6" w:name="_Toc21473"/>
      <w:r>
        <w:rPr>
          <w:rFonts w:hint="eastAsia"/>
          <w:sz w:val="24"/>
          <w:szCs w:val="22"/>
          <w:lang w:val="en-US" w:eastAsia="zh-CN"/>
        </w:rPr>
        <w:t>4.2　人员</w:t>
      </w:r>
      <w:bookmarkEnd w:id="6"/>
    </w:p>
    <w:p w14:paraId="02F7BF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从业人员应同时具备下列条件：</w:t>
      </w:r>
    </w:p>
    <w:p w14:paraId="5F2FF7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（1）持有国家职业指导人员、人力资源管理师、心理咨询师等相应职业资格证书，或经省级退役军人事务部门认可的职业指导专项培训合格；</w:t>
      </w:r>
    </w:p>
    <w:p w14:paraId="688488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（2）具备心理学、社会学、人力资源管理、公共管理、国防教育等任一相关专业大专及以上学历背景；</w:t>
      </w:r>
    </w:p>
    <w:p w14:paraId="06EAD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（3）熟悉《退役军人保障法》《劳动法》《就业促进法》及退役军人安置、优待、税收、金融扶持等政策；</w:t>
      </w:r>
    </w:p>
    <w:p w14:paraId="2C1EA0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（4）能熟练操作计算机、常见职业指导信息系统、线上会议平台及测评工具；</w:t>
      </w:r>
    </w:p>
    <w:p w14:paraId="5BFEE8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（5）年度心理健康评估合格，无影响服务质量的身心疾病；</w:t>
      </w:r>
    </w:p>
    <w:p w14:paraId="4B9A65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（6）能熟练使用国家通用语言和藏语进行听说交流，并了解驻藏部队常用军语。</w:t>
      </w:r>
    </w:p>
    <w:p w14:paraId="0BDDBFEA">
      <w:pPr>
        <w:pStyle w:val="3"/>
        <w:bidi w:val="0"/>
        <w:rPr>
          <w:rFonts w:hint="eastAsia"/>
          <w:sz w:val="24"/>
          <w:szCs w:val="22"/>
          <w:lang w:val="en-US" w:eastAsia="zh-CN"/>
        </w:rPr>
      </w:pPr>
      <w:bookmarkStart w:id="7" w:name="_Toc12629"/>
      <w:r>
        <w:rPr>
          <w:rFonts w:hint="eastAsia"/>
          <w:sz w:val="24"/>
          <w:szCs w:val="22"/>
          <w:lang w:val="en-US" w:eastAsia="zh-CN"/>
        </w:rPr>
        <w:t>4.3　服务场所</w:t>
      </w:r>
      <w:bookmarkEnd w:id="7"/>
    </w:p>
    <w:p w14:paraId="6794CA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4.3.1　场所资源配置</w:t>
      </w:r>
    </w:p>
    <w:p w14:paraId="444BE2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开展退役军人职业指导服务的服务机构的场所和软、硬件设备应符合以下要求：</w:t>
      </w:r>
    </w:p>
    <w:p w14:paraId="27BE5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（1）设立退役军人专用人工咨询台，开通藏汉双语咨询热线；</w:t>
      </w:r>
    </w:p>
    <w:p w14:paraId="12C47E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（2）设置个体咨询室、团体辅导室、培训教室，培训教室应配备多媒体教学设备及高原适应性辅助设施；</w:t>
      </w:r>
    </w:p>
    <w:p w14:paraId="23037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（3）设立等候休息区，提供饮水、充电、阅读及政策宣传材料；</w:t>
      </w:r>
    </w:p>
    <w:p w14:paraId="6003A9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（4）建立退役军人职业指导服务信息系统，具备服役信息转化、岗位智能匹配、线上预约、数据统计及安全备份功能。</w:t>
      </w:r>
    </w:p>
    <w:p w14:paraId="6D0909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4.3.2　服务环境要求</w:t>
      </w:r>
    </w:p>
    <w:p w14:paraId="1D88E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4.3.2.1 线下区应选在场所相对安静、出入便利的位置，室内采光充足、通风良好、环境舒适，主色调融入军绿、雪域白等低饱和色，提供个性化服务空间，满足退役军人个体与团体双重服务需求。</w:t>
      </w:r>
    </w:p>
    <w:p w14:paraId="05EF02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4.3.2.2 线上职业指导依托网络、APP等方式开展，须确保个人信息及隐私安全，所提供的软件系统应具备面向退役军人的专用功能。</w:t>
      </w:r>
    </w:p>
    <w:p w14:paraId="53853EE4">
      <w:pPr>
        <w:pStyle w:val="3"/>
        <w:bidi w:val="0"/>
        <w:rPr>
          <w:rFonts w:hint="eastAsia"/>
          <w:sz w:val="24"/>
          <w:szCs w:val="22"/>
          <w:lang w:val="en-US" w:eastAsia="zh-CN"/>
        </w:rPr>
      </w:pPr>
      <w:bookmarkStart w:id="8" w:name="_Toc6143"/>
      <w:r>
        <w:rPr>
          <w:rFonts w:hint="eastAsia"/>
          <w:sz w:val="24"/>
          <w:szCs w:val="22"/>
          <w:lang w:val="en-US" w:eastAsia="zh-CN"/>
        </w:rPr>
        <w:t>4.4　服务工具与资料</w:t>
      </w:r>
      <w:bookmarkEnd w:id="8"/>
    </w:p>
    <w:p w14:paraId="74BD21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4.4.1　服务工具包括如下内容：</w:t>
      </w:r>
    </w:p>
    <w:p w14:paraId="2ED06D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（1）退役军人职业指导业务系统；</w:t>
      </w:r>
    </w:p>
    <w:p w14:paraId="6470DD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（2）军人职业兴趣与能力测评系统；</w:t>
      </w:r>
    </w:p>
    <w:p w14:paraId="0AD2B4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（3）就业与创业资源评估软件；</w:t>
      </w:r>
    </w:p>
    <w:p w14:paraId="6F619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（4）用人单位招聘与退役军人精准匹配系统；</w:t>
      </w:r>
    </w:p>
    <w:p w14:paraId="55B8C7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（5）创业决策与风险预警系统。</w:t>
      </w:r>
    </w:p>
    <w:p w14:paraId="25564B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4.4.2　专用资料包括如下内容：</w:t>
      </w:r>
    </w:p>
    <w:p w14:paraId="72277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（1）国家及自治区退役军人安置、优待、税收、金融、培训、学历提升等政策汇编；</w:t>
      </w:r>
    </w:p>
    <w:p w14:paraId="5AFC87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（2）国家职业分类大典、拉萨市紧缺工种目录、部队技能鉴定与地方职业资格比照目录；</w:t>
      </w:r>
    </w:p>
    <w:p w14:paraId="7FB9B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（3）自治区年度职业供求分析、薪酬指导价位、退役军人就业质量报告；</w:t>
      </w:r>
    </w:p>
    <w:p w14:paraId="43A39B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（4）面向高原地区的退役军人创业典型案例、融资产品手册、市场风险控制指南；</w:t>
      </w:r>
    </w:p>
    <w:p w14:paraId="68C2B9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（5）其他适用于退役军人群体自助学习与家属参阅的职业指导读物、视频课件、政策图解。</w:t>
      </w:r>
    </w:p>
    <w:p w14:paraId="546DEB17">
      <w:pPr>
        <w:pStyle w:val="2"/>
        <w:bidi w:val="0"/>
        <w:rPr>
          <w:rFonts w:hint="eastAsia"/>
          <w:sz w:val="28"/>
          <w:szCs w:val="22"/>
          <w:lang w:val="en-US" w:eastAsia="zh-CN"/>
        </w:rPr>
      </w:pPr>
      <w:bookmarkStart w:id="9" w:name="_Toc413"/>
      <w:r>
        <w:rPr>
          <w:rFonts w:hint="default"/>
          <w:sz w:val="28"/>
          <w:szCs w:val="22"/>
          <w:lang w:val="en-US" w:eastAsia="zh-CN"/>
        </w:rPr>
        <w:t>5 服务对象和内容</w:t>
      </w:r>
      <w:bookmarkEnd w:id="9"/>
    </w:p>
    <w:p w14:paraId="5EDC29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 xml:space="preserve"> 退役军人</w:t>
      </w:r>
      <w:r>
        <w:rPr>
          <w:rFonts w:hint="eastAsia"/>
          <w:sz w:val="24"/>
          <w:szCs w:val="32"/>
          <w:lang w:val="en-US" w:eastAsia="zh-CN"/>
        </w:rPr>
        <w:t>职业</w:t>
      </w:r>
      <w:r>
        <w:rPr>
          <w:rFonts w:hint="default"/>
          <w:sz w:val="24"/>
          <w:szCs w:val="32"/>
          <w:lang w:val="en-US" w:eastAsia="zh-CN"/>
        </w:rPr>
        <w:t>指导服务应包括且不限于以下内容：</w:t>
      </w:r>
    </w:p>
    <w:p w14:paraId="678DC0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（1）政策法规咨询，提供《退役军人保障法》《退役士兵安置条例》等法规、安置政策、市场供求及薪酬信息的咨询指导；</w:t>
      </w:r>
    </w:p>
    <w:p w14:paraId="16C9C5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（2）职业认知与求职指导，包括社会职业状况介绍、就业观念引导、求职渠道分析及职场适应训练</w:t>
      </w:r>
      <w:r>
        <w:rPr>
          <w:rFonts w:hint="eastAsia"/>
          <w:sz w:val="24"/>
          <w:szCs w:val="32"/>
          <w:lang w:val="en-US" w:eastAsia="zh-CN"/>
        </w:rPr>
        <w:t>等内容</w:t>
      </w:r>
      <w:r>
        <w:rPr>
          <w:rFonts w:hint="default"/>
          <w:sz w:val="24"/>
          <w:szCs w:val="32"/>
          <w:lang w:val="en-US" w:eastAsia="zh-CN"/>
        </w:rPr>
        <w:t>；</w:t>
      </w:r>
    </w:p>
    <w:p w14:paraId="5652A2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（3）职业培训建议，</w:t>
      </w:r>
      <w:r>
        <w:rPr>
          <w:rFonts w:hint="eastAsia"/>
          <w:sz w:val="24"/>
          <w:szCs w:val="32"/>
          <w:lang w:val="en-US" w:eastAsia="zh-CN"/>
        </w:rPr>
        <w:t>包括</w:t>
      </w:r>
      <w:r>
        <w:rPr>
          <w:rFonts w:hint="default"/>
          <w:sz w:val="24"/>
          <w:szCs w:val="32"/>
          <w:lang w:val="en-US" w:eastAsia="zh-CN"/>
        </w:rPr>
        <w:t>结合服役经历与市场需求提出培训方向、推荐具备退役军人培训资质的机构及培训项目、协助申请培训补贴</w:t>
      </w:r>
      <w:r>
        <w:rPr>
          <w:rFonts w:hint="eastAsia"/>
          <w:sz w:val="24"/>
          <w:szCs w:val="32"/>
          <w:lang w:val="en-US" w:eastAsia="zh-CN"/>
        </w:rPr>
        <w:t>等内容</w:t>
      </w:r>
      <w:r>
        <w:rPr>
          <w:rFonts w:hint="default"/>
          <w:sz w:val="24"/>
          <w:szCs w:val="32"/>
          <w:lang w:val="en-US" w:eastAsia="zh-CN"/>
        </w:rPr>
        <w:t>；</w:t>
      </w:r>
    </w:p>
    <w:p w14:paraId="08EEC7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（4）职业素质测评，运用标准化测评工具对人格特质、职业兴趣、能力倾向、胜任素质进行综合评价，并提出个性化职业发展建议；</w:t>
      </w:r>
    </w:p>
    <w:p w14:paraId="4E9786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default"/>
          <w:sz w:val="24"/>
          <w:szCs w:val="32"/>
          <w:lang w:val="en-US" w:eastAsia="zh-CN"/>
        </w:rPr>
        <w:t>（5）分类专项指导，</w:t>
      </w:r>
      <w:r>
        <w:rPr>
          <w:rFonts w:hint="eastAsia"/>
          <w:sz w:val="24"/>
          <w:szCs w:val="32"/>
          <w:lang w:val="en-US" w:eastAsia="zh-CN"/>
        </w:rPr>
        <w:t>针</w:t>
      </w:r>
      <w:r>
        <w:rPr>
          <w:rFonts w:hint="default"/>
          <w:sz w:val="24"/>
          <w:szCs w:val="32"/>
          <w:lang w:val="en-US" w:eastAsia="zh-CN"/>
        </w:rPr>
        <w:t>对自主择业军转干部、退役士兵、伤病残退役军人等提供差异化岗位推荐、政策衔接、创业辅导及跟踪服务。</w:t>
      </w:r>
    </w:p>
    <w:p w14:paraId="3E66209D">
      <w:pPr>
        <w:pStyle w:val="2"/>
        <w:bidi w:val="0"/>
        <w:rPr>
          <w:rFonts w:hint="eastAsia"/>
          <w:sz w:val="28"/>
          <w:szCs w:val="22"/>
        </w:rPr>
      </w:pPr>
      <w:bookmarkStart w:id="10" w:name="_Toc23522"/>
      <w:r>
        <w:rPr>
          <w:rFonts w:hint="eastAsia"/>
          <w:sz w:val="28"/>
          <w:szCs w:val="22"/>
          <w:lang w:val="en-US" w:eastAsia="zh-CN"/>
        </w:rPr>
        <w:t>6 服务流程</w:t>
      </w:r>
      <w:bookmarkEnd w:id="10"/>
      <w:r>
        <w:rPr>
          <w:rFonts w:hint="eastAsia"/>
          <w:sz w:val="28"/>
          <w:szCs w:val="22"/>
          <w:lang w:val="en-US" w:eastAsia="zh-CN"/>
        </w:rPr>
        <w:t xml:space="preserve"> </w:t>
      </w:r>
      <w:r>
        <w:rPr>
          <w:rFonts w:hint="eastAsia"/>
          <w:sz w:val="28"/>
          <w:szCs w:val="22"/>
        </w:rPr>
        <w:t xml:space="preserve"> </w:t>
      </w:r>
    </w:p>
    <w:p w14:paraId="7C0BF410">
      <w:pPr>
        <w:pStyle w:val="3"/>
        <w:bidi w:val="0"/>
        <w:rPr>
          <w:rFonts w:hint="eastAsia"/>
          <w:sz w:val="24"/>
          <w:szCs w:val="22"/>
          <w:lang w:val="en-US" w:eastAsia="zh-CN"/>
        </w:rPr>
      </w:pPr>
      <w:bookmarkStart w:id="11" w:name="_Toc30696"/>
      <w:r>
        <w:rPr>
          <w:rFonts w:hint="eastAsia"/>
          <w:sz w:val="24"/>
          <w:szCs w:val="22"/>
          <w:lang w:val="en-US" w:eastAsia="zh-CN"/>
        </w:rPr>
        <w:t>6.1  职业规划咨询</w:t>
      </w:r>
      <w:bookmarkEnd w:id="11"/>
    </w:p>
    <w:p w14:paraId="657EA3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6.1.1  服务机构应在职业能力测评完成后，依据测评结果、个人经历及就业意愿，为退役军人提供职业生涯规划咨询。</w:t>
      </w:r>
    </w:p>
    <w:p w14:paraId="42CBB4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6.1.2  咨询内容应包括自我认知分析、职业环境评估、职业目标设定、发展路径设计及阶段行动计划。</w:t>
      </w:r>
    </w:p>
    <w:p w14:paraId="30EC87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6.1.3  职业规划方案应以书面形式交付退役军人，并视其需求变化提供后续修订与跟踪指导。</w:t>
      </w:r>
    </w:p>
    <w:p w14:paraId="095939BE">
      <w:pPr>
        <w:pStyle w:val="3"/>
        <w:bidi w:val="0"/>
        <w:rPr>
          <w:rFonts w:hint="eastAsia"/>
          <w:sz w:val="24"/>
          <w:szCs w:val="22"/>
          <w:lang w:val="en-US" w:eastAsia="zh-CN"/>
        </w:rPr>
      </w:pPr>
      <w:bookmarkStart w:id="12" w:name="_Toc4807"/>
      <w:r>
        <w:rPr>
          <w:rFonts w:hint="eastAsia"/>
          <w:sz w:val="24"/>
          <w:szCs w:val="22"/>
          <w:lang w:val="en-US" w:eastAsia="zh-CN"/>
        </w:rPr>
        <w:t>6.2  职业技能培训</w:t>
      </w:r>
      <w:bookmarkEnd w:id="12"/>
    </w:p>
    <w:p w14:paraId="27EC23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6.2.1  根据测评结果和就业意向，确认培训需求并制定培训计划。</w:t>
      </w:r>
    </w:p>
    <w:p w14:paraId="4D5EB7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6.2.2  推荐具备相应资质的培训机构及课程，协助办理报名手续。</w:t>
      </w:r>
    </w:p>
    <w:p w14:paraId="5229D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6.2.3  跟踪培训进度，协调处理培训期间出现的问题，并记录培训结果。</w:t>
      </w:r>
    </w:p>
    <w:p w14:paraId="74F2A6FD">
      <w:pPr>
        <w:pStyle w:val="3"/>
        <w:bidi w:val="0"/>
        <w:rPr>
          <w:rFonts w:hint="eastAsia"/>
          <w:sz w:val="24"/>
          <w:szCs w:val="22"/>
          <w:lang w:val="en-US" w:eastAsia="zh-CN"/>
        </w:rPr>
      </w:pPr>
      <w:bookmarkStart w:id="13" w:name="_Toc26375"/>
      <w:r>
        <w:rPr>
          <w:rFonts w:hint="eastAsia"/>
          <w:sz w:val="24"/>
          <w:szCs w:val="22"/>
          <w:lang w:val="en-US" w:eastAsia="zh-CN"/>
        </w:rPr>
        <w:t>6.3  岗位推荐与就业服务</w:t>
      </w:r>
      <w:bookmarkEnd w:id="13"/>
    </w:p>
    <w:p w14:paraId="047E6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6.3.1  收集、审核并定期发布适合退役军人的岗位信息。</w:t>
      </w:r>
    </w:p>
    <w:p w14:paraId="3F47BF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6.3.2  按照岗位要求和退役军人类别实施匹配，定向推送岗位。</w:t>
      </w:r>
    </w:p>
    <w:p w14:paraId="18291B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6.3.3  提供简历制作、面试技巧等应聘辅导，并协助安排面试。</w:t>
      </w:r>
    </w:p>
    <w:p w14:paraId="15C2B78B">
      <w:pPr>
        <w:pStyle w:val="3"/>
        <w:bidi w:val="0"/>
        <w:rPr>
          <w:rFonts w:hint="eastAsia"/>
          <w:sz w:val="24"/>
          <w:szCs w:val="22"/>
          <w:lang w:val="en-US" w:eastAsia="zh-CN"/>
        </w:rPr>
      </w:pPr>
      <w:bookmarkStart w:id="14" w:name="_Toc26269"/>
      <w:r>
        <w:rPr>
          <w:rFonts w:hint="eastAsia"/>
          <w:sz w:val="24"/>
          <w:szCs w:val="22"/>
          <w:lang w:val="en-US" w:eastAsia="zh-CN"/>
        </w:rPr>
        <w:t>6.4  创业指导服务</w:t>
      </w:r>
      <w:bookmarkEnd w:id="14"/>
    </w:p>
    <w:p w14:paraId="26ED83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6.4.1  提供创业政策咨询，评估创业项目可行性。</w:t>
      </w:r>
    </w:p>
    <w:p w14:paraId="39AC98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6.4.2  指导完善创业计划书，明确市场定位、运营模式及资金预算。</w:t>
      </w:r>
    </w:p>
    <w:p w14:paraId="1FD8B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6.4.3  协助对接创业培训、金融、场地、税费减免等支持资源。</w:t>
      </w:r>
    </w:p>
    <w:p w14:paraId="2CD53DAE">
      <w:pPr>
        <w:pStyle w:val="3"/>
        <w:bidi w:val="0"/>
        <w:rPr>
          <w:rFonts w:hint="eastAsia"/>
          <w:sz w:val="24"/>
          <w:szCs w:val="22"/>
          <w:lang w:val="en-US" w:eastAsia="zh-CN"/>
        </w:rPr>
      </w:pPr>
      <w:bookmarkStart w:id="15" w:name="_Toc29194"/>
      <w:r>
        <w:rPr>
          <w:rFonts w:hint="eastAsia"/>
          <w:sz w:val="24"/>
          <w:szCs w:val="22"/>
          <w:lang w:val="en-US" w:eastAsia="zh-CN"/>
        </w:rPr>
        <w:t>6.5  就业跟踪服务</w:t>
      </w:r>
      <w:bookmarkEnd w:id="15"/>
    </w:p>
    <w:p w14:paraId="365C68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6.5.1  在服务对象上岗后十五日内完成首次回访，确认就业状态。</w:t>
      </w:r>
    </w:p>
    <w:p w14:paraId="1E9B9B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6.5.2  定期了解岗位适应情况，提供政策咨询和稳岗建议。</w:t>
      </w:r>
    </w:p>
    <w:p w14:paraId="061FFB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6.5.3  将跟踪信息及时录入业务系统，按年度整理归档并保存五年以上。</w:t>
      </w:r>
    </w:p>
    <w:p w14:paraId="3C2CB4B4">
      <w:pPr>
        <w:pStyle w:val="2"/>
        <w:bidi w:val="0"/>
        <w:rPr>
          <w:rFonts w:hint="eastAsia"/>
          <w:sz w:val="28"/>
          <w:szCs w:val="22"/>
          <w:lang w:val="en-US" w:eastAsia="zh-CN"/>
        </w:rPr>
      </w:pPr>
      <w:bookmarkStart w:id="16" w:name="_Toc29609"/>
      <w:r>
        <w:rPr>
          <w:rFonts w:hint="eastAsia"/>
          <w:sz w:val="28"/>
          <w:szCs w:val="22"/>
          <w:lang w:val="en-US" w:eastAsia="zh-CN"/>
        </w:rPr>
        <w:t>7 评价与持续改进</w:t>
      </w:r>
      <w:bookmarkEnd w:id="16"/>
    </w:p>
    <w:p w14:paraId="595A08AA">
      <w:pPr>
        <w:pStyle w:val="3"/>
        <w:bidi w:val="0"/>
        <w:rPr>
          <w:rFonts w:hint="eastAsia"/>
          <w:sz w:val="24"/>
          <w:szCs w:val="22"/>
          <w:lang w:val="en-US" w:eastAsia="zh-CN"/>
        </w:rPr>
      </w:pPr>
      <w:bookmarkStart w:id="17" w:name="_Toc31688"/>
      <w:r>
        <w:rPr>
          <w:rFonts w:hint="eastAsia"/>
          <w:sz w:val="24"/>
          <w:szCs w:val="22"/>
          <w:lang w:val="en-US" w:eastAsia="zh-CN"/>
        </w:rPr>
        <w:t>7.1  服务监督</w:t>
      </w:r>
      <w:bookmarkEnd w:id="17"/>
    </w:p>
    <w:p w14:paraId="60DCEF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7.1.1  服务机构应通过现场公示、网站、新媒体等方式，主动公布退役军人职业指导服务的内容、依据、流程、要求及投诉渠道，保障服务对象的知情权与监督权。</w:t>
      </w:r>
    </w:p>
    <w:p w14:paraId="597CB1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7.1.2  服务机构应建立内部监督机制，每年至少开展一次内部审核，并接受退役军人事务主管部门及社会监督。</w:t>
      </w:r>
    </w:p>
    <w:p w14:paraId="362E41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7.1.3  对监督与审核中发现的问题，应及时制定并落实纠正和预防措施，持续提高服务满意度。</w:t>
      </w:r>
    </w:p>
    <w:p w14:paraId="172522EA">
      <w:pPr>
        <w:pStyle w:val="3"/>
        <w:bidi w:val="0"/>
        <w:rPr>
          <w:rFonts w:hint="eastAsia"/>
          <w:sz w:val="24"/>
          <w:szCs w:val="22"/>
          <w:lang w:val="en-US" w:eastAsia="zh-CN"/>
        </w:rPr>
      </w:pPr>
      <w:bookmarkStart w:id="18" w:name="_Toc4709"/>
      <w:r>
        <w:rPr>
          <w:rFonts w:hint="eastAsia"/>
          <w:sz w:val="24"/>
          <w:szCs w:val="22"/>
          <w:lang w:val="en-US" w:eastAsia="zh-CN"/>
        </w:rPr>
        <w:t>7.2  服务质量评价</w:t>
      </w:r>
      <w:bookmarkEnd w:id="18"/>
    </w:p>
    <w:p w14:paraId="46322C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7.2.1  服务机构应采用内部评价与外部评价相结合的方式，以服务对象满意度测评为核心开展服务质量评价。</w:t>
      </w:r>
    </w:p>
    <w:p w14:paraId="0381D3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7.2.2  服务对象满意度测评按照 GB/T 19038、GB/T 19039 的规定执行。</w:t>
      </w:r>
    </w:p>
    <w:p w14:paraId="1CBF697E">
      <w:pPr>
        <w:pStyle w:val="3"/>
        <w:bidi w:val="0"/>
        <w:rPr>
          <w:rFonts w:hint="eastAsia"/>
          <w:sz w:val="24"/>
          <w:szCs w:val="22"/>
          <w:lang w:val="en-US" w:eastAsia="zh-CN"/>
        </w:rPr>
      </w:pPr>
      <w:bookmarkStart w:id="19" w:name="_Toc32721"/>
      <w:r>
        <w:rPr>
          <w:rFonts w:hint="eastAsia"/>
          <w:sz w:val="24"/>
          <w:szCs w:val="22"/>
          <w:lang w:val="en-US" w:eastAsia="zh-CN"/>
        </w:rPr>
        <w:t>7.3  投诉处理</w:t>
      </w:r>
      <w:bookmarkEnd w:id="19"/>
    </w:p>
    <w:p w14:paraId="1EF4B4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服务机构应提供现场、信函、电话、网络等投诉渠道，指定专门部门负责调查、处理服务对象的投诉，并在受理之日起15个工作日内将处理结果告知投诉人。</w:t>
      </w:r>
    </w:p>
    <w:p w14:paraId="252FD835">
      <w:pPr>
        <w:pStyle w:val="3"/>
        <w:bidi w:val="0"/>
        <w:rPr>
          <w:rFonts w:hint="eastAsia"/>
          <w:sz w:val="24"/>
          <w:szCs w:val="22"/>
          <w:lang w:val="en-US" w:eastAsia="zh-CN"/>
        </w:rPr>
      </w:pPr>
      <w:bookmarkStart w:id="20" w:name="_Toc10549"/>
      <w:r>
        <w:rPr>
          <w:rFonts w:hint="eastAsia"/>
          <w:sz w:val="24"/>
          <w:szCs w:val="22"/>
          <w:lang w:val="en-US" w:eastAsia="zh-CN"/>
        </w:rPr>
        <w:t>7.4  持续改进</w:t>
      </w:r>
      <w:bookmarkEnd w:id="20"/>
    </w:p>
    <w:p w14:paraId="542D52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7.4.1  服务机构应根据监督、评价和投诉信息，对服务内容、形式、流程进行优化。</w:t>
      </w:r>
    </w:p>
    <w:p w14:paraId="50E0A2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7.4.2  服务机构应以提升服务对象满意度和公共服务效能为目标，持续改进服务质量。</w:t>
      </w:r>
    </w:p>
    <w:sectPr>
      <w:footerReference r:id="rId4" w:type="default"/>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E6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50A1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50A1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3706">
    <w:pPr>
      <w:pStyle w:val="4"/>
    </w:pPr>
  </w:p>
  <w:p w14:paraId="476C96A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F9FEF">
                          <w:pPr>
                            <w:pStyle w:val="4"/>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EF9FEF">
                    <w:pPr>
                      <w:pStyle w:val="4"/>
                    </w:pPr>
                    <w:r>
                      <w:fldChar w:fldCharType="begin"/>
                    </w:r>
                    <w:r>
                      <w:instrText xml:space="preserve"> PAGE  \* MERGEFORMAT </w:instrText>
                    </w:r>
                    <w:r>
                      <w:fldChar w:fldCharType="separate"/>
                    </w:r>
                    <w:r>
                      <w:t>IV</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54D13"/>
    <w:rsid w:val="07907F9E"/>
    <w:rsid w:val="08BD414D"/>
    <w:rsid w:val="0E3D5DEB"/>
    <w:rsid w:val="10BB33AB"/>
    <w:rsid w:val="151723F0"/>
    <w:rsid w:val="15332B81"/>
    <w:rsid w:val="162F5791"/>
    <w:rsid w:val="19B32C13"/>
    <w:rsid w:val="1F0979D8"/>
    <w:rsid w:val="21203698"/>
    <w:rsid w:val="21B9761B"/>
    <w:rsid w:val="22B71CED"/>
    <w:rsid w:val="298736A5"/>
    <w:rsid w:val="29A849C8"/>
    <w:rsid w:val="2C6E0973"/>
    <w:rsid w:val="337E660A"/>
    <w:rsid w:val="3A5675B3"/>
    <w:rsid w:val="3B924858"/>
    <w:rsid w:val="42AD7CE0"/>
    <w:rsid w:val="45F45578"/>
    <w:rsid w:val="46B12408"/>
    <w:rsid w:val="47CA59A4"/>
    <w:rsid w:val="4F452B3A"/>
    <w:rsid w:val="54442BC0"/>
    <w:rsid w:val="56AB0048"/>
    <w:rsid w:val="5BC70423"/>
    <w:rsid w:val="60346AF3"/>
    <w:rsid w:val="6E4C2E04"/>
    <w:rsid w:val="71CC00E9"/>
    <w:rsid w:val="736B3932"/>
    <w:rsid w:val="778E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76" w:lineRule="auto"/>
      <w:outlineLvl w:val="0"/>
    </w:pPr>
    <w:rPr>
      <w:rFonts w:eastAsia="黑体" w:asciiTheme="minorAscii" w:hAnsiTheme="minorAscii"/>
      <w:b/>
      <w:kern w:val="44"/>
      <w:sz w:val="32"/>
    </w:rPr>
  </w:style>
  <w:style w:type="paragraph" w:styleId="3">
    <w:name w:val="heading 2"/>
    <w:basedOn w:val="1"/>
    <w:next w:val="1"/>
    <w:unhideWhenUsed/>
    <w:qFormat/>
    <w:uiPriority w:val="0"/>
    <w:pPr>
      <w:keepNext/>
      <w:keepLines/>
      <w:spacing w:before="50" w:beforeLines="50" w:beforeAutospacing="0" w:after="50" w:afterLines="50" w:afterAutospacing="0" w:line="413" w:lineRule="auto"/>
      <w:ind w:firstLine="0" w:firstLineChars="0"/>
      <w:outlineLvl w:val="1"/>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2964</Words>
  <Characters>3317</Characters>
  <Lines>0</Lines>
  <Paragraphs>0</Paragraphs>
  <TotalTime>0</TotalTime>
  <ScaleCrop>false</ScaleCrop>
  <LinksUpToDate>false</LinksUpToDate>
  <CharactersWithSpaces>3496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2025-04-21T09:06:00Z</dcterms:created>
  <dc:creator>10763</dc:creator>
  <cp:lastModifiedBy>Donny=3=</cp:lastModifiedBy>
  <dcterms:modified xsi:type="dcterms:W3CDTF">2025-09-15T14:24:26Z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eyJoZGlkIjoiNTFmMzU5NGI0MWZmNWQxMjk5ZTJjY2Y1OWIwZDEyNDciLCJ1c2VySWQiOiIzMzE5ODY1MzkifQ==</vt:lpwstr>
  </property>
  <property fmtid="{D5CDD505-2E9C-101B-9397-08002B2CF9AE}" pid="4" name="ICV">
    <vt:lpwstr>48C48E4EB1384F0E944A355D37257453_13</vt:lpwstr>
  </property>
</Properties>
</file>